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64538FF9" w:rsidR="007066E3" w:rsidRDefault="00674994" w:rsidP="004F1E13">
      <w:pPr>
        <w:pStyle w:val="Heading1"/>
      </w:pPr>
      <w:bookmarkStart w:id="0" w:name="_Toc442782752"/>
      <w:r>
        <w:t xml:space="preserve">Assignment </w:t>
      </w:r>
      <w:r w:rsidR="00FB0E10">
        <w:t>Manage</w:t>
      </w:r>
      <w:r>
        <w:t>ment</w:t>
      </w:r>
    </w:p>
    <w:p w14:paraId="55EDCA07" w14:textId="387B2C56" w:rsidR="00C242AF" w:rsidRDefault="00A9279E" w:rsidP="00C242AF">
      <w:r w:rsidRPr="00A9279E">
        <w:t xml:space="preserve">This document provides </w:t>
      </w:r>
      <w:r w:rsidR="00DF6BB5">
        <w:t>Hiring Manager and Program Office staff</w:t>
      </w:r>
      <w:r w:rsidRPr="00A9279E">
        <w:t xml:space="preserve"> with the steps necessary to </w:t>
      </w:r>
      <w:r w:rsidR="00592F1D">
        <w:t>manage assignments</w:t>
      </w:r>
      <w:r w:rsidR="00817F86">
        <w:t xml:space="preserve"> in IQN VMS</w:t>
      </w:r>
      <w:r w:rsidR="00592F1D">
        <w:t xml:space="preserve">. </w:t>
      </w:r>
      <w:r w:rsidR="00BC175E">
        <w:t>In general, any a</w:t>
      </w:r>
      <w:r w:rsidR="0044543E">
        <w:t>djustment to non-contractual aspects of an assignment</w:t>
      </w:r>
      <w:r w:rsidR="00BC175E">
        <w:t xml:space="preserve"> are </w:t>
      </w:r>
      <w:r w:rsidR="00BC175E" w:rsidRPr="001F64E6">
        <w:rPr>
          <w:b/>
        </w:rPr>
        <w:t>edits</w:t>
      </w:r>
      <w:r w:rsidR="00BC175E">
        <w:t xml:space="preserve"> while adjustments to contractual terms are </w:t>
      </w:r>
      <w:r w:rsidR="00186B5A" w:rsidRPr="001F64E6">
        <w:rPr>
          <w:b/>
        </w:rPr>
        <w:t>amendments</w:t>
      </w:r>
      <w:r w:rsidR="00186B5A">
        <w:t xml:space="preserve">. </w:t>
      </w:r>
      <w:r w:rsidR="00C242AF">
        <w:t>Contract</w:t>
      </w:r>
      <w:r w:rsidR="001F64E6">
        <w:t xml:space="preserve"> Terms</w:t>
      </w:r>
      <w:r w:rsidR="00C242AF">
        <w:t xml:space="preserve"> are clearly identified on each assignment record</w:t>
      </w:r>
      <w:r w:rsidR="00814666">
        <w:t xml:space="preserve"> in a separate section</w:t>
      </w:r>
      <w:r w:rsidR="00C242AF">
        <w:t xml:space="preserve"> and </w:t>
      </w:r>
      <w:r w:rsidR="00814666">
        <w:t xml:space="preserve">they </w:t>
      </w:r>
      <w:r w:rsidR="00C242AF">
        <w:t>typically impact the budget.</w:t>
      </w:r>
      <w:r w:rsidR="00A52A8C">
        <w:t xml:space="preserve"> </w:t>
      </w:r>
      <w:r w:rsidR="001F64E6" w:rsidRPr="005A1D86">
        <w:t>A</w:t>
      </w:r>
      <w:r w:rsidR="00A52A8C" w:rsidRPr="005A1D86">
        <w:t>mendment</w:t>
      </w:r>
      <w:r w:rsidR="001F64E6" w:rsidRPr="005A1D86">
        <w:t xml:space="preserve">s </w:t>
      </w:r>
      <w:r w:rsidR="005A1D86" w:rsidRPr="005A1D86">
        <w:t>require supplier acceptance and</w:t>
      </w:r>
      <w:r w:rsidR="001F64E6" w:rsidRPr="005A1D86">
        <w:t xml:space="preserve"> include approval workflows</w:t>
      </w:r>
      <w:r w:rsidR="005A1D86" w:rsidRPr="005A1D86">
        <w:t>; edits do not</w:t>
      </w:r>
      <w:r w:rsidR="001F64E6" w:rsidRPr="005A1D86">
        <w:t>.</w:t>
      </w:r>
    </w:p>
    <w:p w14:paraId="0A3320BE" w14:textId="4440732B" w:rsidR="00D223A8" w:rsidRPr="0074354C" w:rsidRDefault="0074354C" w:rsidP="00C242AF">
      <w:pPr>
        <w:rPr>
          <w:sz w:val="18"/>
          <w:szCs w:val="18"/>
        </w:rPr>
      </w:pPr>
      <w:r w:rsidRPr="0074354C">
        <w:rPr>
          <w:b/>
          <w:sz w:val="18"/>
          <w:szCs w:val="18"/>
        </w:rPr>
        <w:t>NOTE</w:t>
      </w:r>
      <w:r w:rsidRPr="0074354C">
        <w:rPr>
          <w:sz w:val="18"/>
          <w:szCs w:val="18"/>
        </w:rPr>
        <w:t xml:space="preserve">: </w:t>
      </w:r>
      <w:r w:rsidR="00D223A8" w:rsidRPr="0074354C">
        <w:rPr>
          <w:sz w:val="18"/>
          <w:szCs w:val="18"/>
        </w:rPr>
        <w:t>Numeric and bullet lists describe process steps. The information icon (</w:t>
      </w:r>
      <w:r w:rsidR="00D223A8" w:rsidRPr="0074354C">
        <w:rPr>
          <w:noProof/>
          <w:sz w:val="18"/>
          <w:szCs w:val="18"/>
        </w:rPr>
        <w:drawing>
          <wp:inline distT="0" distB="0" distL="0" distR="0" wp14:anchorId="4B947564" wp14:editId="19686209">
            <wp:extent cx="180952" cy="15238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3A8" w:rsidRPr="0074354C">
        <w:rPr>
          <w:sz w:val="18"/>
          <w:szCs w:val="18"/>
        </w:rPr>
        <w:t>) identifies supplemental and/or advisory content.</w:t>
      </w:r>
    </w:p>
    <w:p w14:paraId="5AE0ADBF" w14:textId="3F116E46" w:rsidR="00AC4334" w:rsidRPr="007066E3" w:rsidRDefault="00A9279E" w:rsidP="004F1E13">
      <w:pPr>
        <w:pStyle w:val="Heading2"/>
      </w:pPr>
      <w:r>
        <w:t xml:space="preserve">To </w:t>
      </w:r>
      <w:r w:rsidR="008523A0" w:rsidRPr="007A7DDF">
        <w:rPr>
          <w:color w:val="FF0000"/>
        </w:rPr>
        <w:t>edit</w:t>
      </w:r>
      <w:r w:rsidR="006E61C2">
        <w:t xml:space="preserve"> an assignment</w:t>
      </w:r>
      <w:r>
        <w:t>:</w:t>
      </w:r>
    </w:p>
    <w:p w14:paraId="755EB188" w14:textId="19280A72" w:rsidR="00A9279E" w:rsidRPr="00722937" w:rsidRDefault="00A9279E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="00451618" w:rsidRPr="00451618">
        <w:rPr>
          <w:i/>
          <w:szCs w:val="20"/>
        </w:rPr>
        <w:t xml:space="preserve">Make your Buyer Organization selection during login or use the Change Organization feature once your Home dashboard </w:t>
      </w:r>
      <w:r w:rsidR="00451618">
        <w:rPr>
          <w:i/>
          <w:szCs w:val="20"/>
        </w:rPr>
        <w:t>appears</w:t>
      </w:r>
      <w:r w:rsidR="00451618" w:rsidRPr="00451618">
        <w:rPr>
          <w:i/>
          <w:szCs w:val="20"/>
        </w:rPr>
        <w:t>.</w:t>
      </w:r>
    </w:p>
    <w:p w14:paraId="1CF856E2" w14:textId="56164FC0" w:rsidR="002B2292" w:rsidRPr="006F684D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the </w:t>
      </w:r>
      <w:r>
        <w:rPr>
          <w:b/>
          <w:bCs/>
          <w:szCs w:val="20"/>
        </w:rPr>
        <w:t>Manage</w:t>
      </w:r>
      <w:r w:rsidRPr="006F684D">
        <w:rPr>
          <w:szCs w:val="20"/>
        </w:rPr>
        <w:t xml:space="preserve"> menu drop-down arrow</w:t>
      </w:r>
      <w:r>
        <w:rPr>
          <w:szCs w:val="20"/>
        </w:rPr>
        <w:t xml:space="preserve"> located in the Header Menu bar</w:t>
      </w:r>
      <w:r w:rsidRPr="006F684D">
        <w:rPr>
          <w:szCs w:val="20"/>
        </w:rPr>
        <w:t>.</w:t>
      </w:r>
    </w:p>
    <w:p w14:paraId="4CCDAA43" w14:textId="354608FF" w:rsidR="002B2292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</w:t>
      </w:r>
      <w:r w:rsidR="009B07FD">
        <w:rPr>
          <w:b/>
          <w:szCs w:val="20"/>
        </w:rPr>
        <w:t>Assignments</w:t>
      </w:r>
      <w:r>
        <w:rPr>
          <w:szCs w:val="20"/>
        </w:rPr>
        <w:t xml:space="preserve">. The Positions </w:t>
      </w:r>
      <w:r w:rsidR="00DF6BB5">
        <w:rPr>
          <w:szCs w:val="20"/>
        </w:rPr>
        <w:t xml:space="preserve">list </w:t>
      </w:r>
      <w:r>
        <w:rPr>
          <w:szCs w:val="20"/>
        </w:rPr>
        <w:t>screen appears.</w:t>
      </w:r>
    </w:p>
    <w:p w14:paraId="787664E1" w14:textId="1136AFB3" w:rsidR="00AC4334" w:rsidRDefault="0001457F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Use the Search box (</w:t>
      </w:r>
      <w:r>
        <w:rPr>
          <w:noProof/>
        </w:rPr>
        <w:drawing>
          <wp:inline distT="0" distB="0" distL="0" distR="0" wp14:anchorId="6C161105" wp14:editId="79B0ABB4">
            <wp:extent cx="161290" cy="16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719" cy="1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</w:t>
      </w:r>
      <w:r w:rsidR="00FA5D8C">
        <w:rPr>
          <w:szCs w:val="20"/>
        </w:rPr>
        <w:t xml:space="preserve"> or </w:t>
      </w:r>
      <w:r w:rsidR="00FA5D8C" w:rsidRPr="00FA5D8C">
        <w:rPr>
          <w:color w:val="0070C0"/>
          <w:szCs w:val="20"/>
        </w:rPr>
        <w:t>Advanced Search</w:t>
      </w:r>
      <w:r w:rsidR="00FA5D8C">
        <w:rPr>
          <w:szCs w:val="20"/>
        </w:rPr>
        <w:t xml:space="preserve"> link to </w:t>
      </w:r>
      <w:r w:rsidR="008C0894">
        <w:rPr>
          <w:szCs w:val="20"/>
        </w:rPr>
        <w:t>find</w:t>
      </w:r>
      <w:r w:rsidR="00FA5D8C">
        <w:rPr>
          <w:szCs w:val="20"/>
        </w:rPr>
        <w:t xml:space="preserve"> the </w:t>
      </w:r>
      <w:r w:rsidR="003E2C24">
        <w:rPr>
          <w:szCs w:val="20"/>
        </w:rPr>
        <w:t xml:space="preserve">contractor’s </w:t>
      </w:r>
      <w:r w:rsidR="009B07FD">
        <w:rPr>
          <w:szCs w:val="20"/>
        </w:rPr>
        <w:t>assignment record</w:t>
      </w:r>
      <w:r w:rsidR="00FA5D8C">
        <w:rPr>
          <w:szCs w:val="20"/>
        </w:rPr>
        <w:t xml:space="preserve"> </w:t>
      </w:r>
      <w:r w:rsidR="008C0894">
        <w:rPr>
          <w:szCs w:val="20"/>
        </w:rPr>
        <w:t xml:space="preserve">you </w:t>
      </w:r>
      <w:r w:rsidR="0000504A">
        <w:rPr>
          <w:szCs w:val="20"/>
        </w:rPr>
        <w:t>want</w:t>
      </w:r>
      <w:r w:rsidR="008C0894">
        <w:rPr>
          <w:szCs w:val="20"/>
        </w:rPr>
        <w:t xml:space="preserve"> </w:t>
      </w:r>
      <w:r w:rsidR="00FA5D8C">
        <w:rPr>
          <w:szCs w:val="20"/>
        </w:rPr>
        <w:t xml:space="preserve">to </w:t>
      </w:r>
      <w:r w:rsidR="003E2C24">
        <w:rPr>
          <w:szCs w:val="20"/>
        </w:rPr>
        <w:t>adjust</w:t>
      </w:r>
      <w:r w:rsidR="000443C0">
        <w:rPr>
          <w:szCs w:val="20"/>
        </w:rPr>
        <w:t>.</w:t>
      </w:r>
      <w:bookmarkEnd w:id="0"/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FA5D8C" w:rsidRPr="006628EF" w14:paraId="4B561065" w14:textId="77777777" w:rsidTr="008177D5">
        <w:tc>
          <w:tcPr>
            <w:tcW w:w="433" w:type="pct"/>
            <w:vAlign w:val="center"/>
          </w:tcPr>
          <w:p w14:paraId="4F930B4C" w14:textId="77777777" w:rsidR="00FA5D8C" w:rsidRPr="00A95937" w:rsidRDefault="00FA5D8C" w:rsidP="008177D5">
            <w:pPr>
              <w:spacing w:line="360" w:lineRule="auto"/>
              <w:rPr>
                <w:noProof/>
                <w:szCs w:val="20"/>
              </w:rPr>
            </w:pPr>
            <w:bookmarkStart w:id="1" w:name="_GoBack"/>
            <w:bookmarkEnd w:id="1"/>
            <w:r w:rsidRPr="00A95937">
              <w:rPr>
                <w:noProof/>
                <w:szCs w:val="20"/>
              </w:rPr>
              <w:drawing>
                <wp:inline distT="0" distB="0" distL="0" distR="0" wp14:anchorId="3FBFDE83" wp14:editId="6BED8862">
                  <wp:extent cx="338328" cy="347472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63FBB11F" w14:textId="57465A89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C</w:t>
            </w:r>
            <w:r w:rsidR="00FA5D8C">
              <w:t xml:space="preserve">lick </w:t>
            </w:r>
            <w:r w:rsidR="00BB7B64">
              <w:t>the</w:t>
            </w:r>
            <w:r w:rsidR="00FA5D8C">
              <w:t xml:space="preserve"> double arrow icon (</w:t>
            </w:r>
            <w:r w:rsidR="00FA5D8C">
              <w:rPr>
                <w:noProof/>
              </w:rPr>
              <w:drawing>
                <wp:inline distT="0" distB="0" distL="0" distR="0" wp14:anchorId="45029311" wp14:editId="0ED0BBC9">
                  <wp:extent cx="85714" cy="1238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" cy="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D8C">
              <w:t xml:space="preserve"> ) to change the </w:t>
            </w:r>
            <w:r w:rsidR="0000504A">
              <w:t>sort</w:t>
            </w:r>
            <w:r w:rsidR="00FA5D8C">
              <w:t xml:space="preserve"> order </w:t>
            </w:r>
            <w:r w:rsidR="009B07FD">
              <w:t xml:space="preserve">(where applicable) for any specific </w:t>
            </w:r>
            <w:r w:rsidR="00FA5D8C">
              <w:t>column</w:t>
            </w:r>
            <w:r w:rsidR="009B07FD">
              <w:t>.</w:t>
            </w:r>
          </w:p>
          <w:p w14:paraId="4D8CF12E" w14:textId="0AFA8B6E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 xml:space="preserve">Click </w:t>
            </w:r>
            <w:r w:rsidR="0000504A">
              <w:t>the Configurable Columns link (</w:t>
            </w:r>
            <w:r w:rsidR="0000504A">
              <w:rPr>
                <w:noProof/>
              </w:rPr>
              <w:drawing>
                <wp:inline distT="0" distB="0" distL="0" distR="0" wp14:anchorId="4FEFC1FE" wp14:editId="3BF20AB6">
                  <wp:extent cx="1180952" cy="17142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04A">
              <w:t xml:space="preserve">) to add/remove or change the </w:t>
            </w:r>
            <w:r w:rsidR="00BB7B64">
              <w:t xml:space="preserve">overall </w:t>
            </w:r>
            <w:r w:rsidR="0000504A">
              <w:t>display order.</w:t>
            </w:r>
          </w:p>
          <w:p w14:paraId="20D4DF02" w14:textId="5E3B1975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Use the Items per page selector (</w:t>
            </w:r>
            <w:r w:rsidR="003E2C24">
              <w:rPr>
                <w:noProof/>
              </w:rPr>
              <w:drawing>
                <wp:inline distT="0" distB="0" distL="0" distR="0" wp14:anchorId="1C4C8E46" wp14:editId="3FFAD511">
                  <wp:extent cx="1047619" cy="247619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7B64">
              <w:t xml:space="preserve">) to adjust how many items display per screen. </w:t>
            </w:r>
          </w:p>
          <w:p w14:paraId="6EBC248B" w14:textId="68E87AB5" w:rsidR="00FA5D8C" w:rsidRDefault="009D71BF" w:rsidP="00C75CED">
            <w:pPr>
              <w:pStyle w:val="Advisory"/>
            </w:pPr>
            <w:r>
              <w:t xml:space="preserve">• </w:t>
            </w:r>
            <w:r w:rsidR="00BB7B64">
              <w:t>Click the Quick View overview icon (</w:t>
            </w:r>
            <w:r w:rsidR="00BB7B64">
              <w:rPr>
                <w:noProof/>
              </w:rPr>
              <w:drawing>
                <wp:inline distT="0" distB="0" distL="0" distR="0" wp14:anchorId="3491468F" wp14:editId="444CAD06">
                  <wp:extent cx="142857" cy="161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) to </w:t>
            </w:r>
            <w:r w:rsidR="00AE2FBB">
              <w:t>v</w:t>
            </w:r>
            <w:r>
              <w:t xml:space="preserve">iew </w:t>
            </w:r>
            <w:r w:rsidR="00AE2FBB">
              <w:t>an assignment record summary and/or drill down to the full assignment record</w:t>
            </w:r>
            <w:r>
              <w:t>.</w:t>
            </w:r>
            <w:r w:rsidR="00C75CED">
              <w:t xml:space="preserve"> A checkmark icon (</w:t>
            </w:r>
            <w:r w:rsidR="00C75CED">
              <w:rPr>
                <w:noProof/>
              </w:rPr>
              <w:drawing>
                <wp:inline distT="0" distB="0" distL="0" distR="0" wp14:anchorId="729D33C5" wp14:editId="13D7EE80">
                  <wp:extent cx="133333" cy="114286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5CED">
              <w:t>) in the Quick View column i</w:t>
            </w:r>
            <w:r w:rsidR="00D35B0C">
              <w:t>ndicates an approval in process and a circling arrows icon (</w:t>
            </w:r>
            <w:r w:rsidR="00D35B0C">
              <w:rPr>
                <w:noProof/>
              </w:rPr>
              <w:drawing>
                <wp:inline distT="0" distB="0" distL="0" distR="0" wp14:anchorId="7E2A4059" wp14:editId="35F3853A">
                  <wp:extent cx="152381" cy="142857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5B0C">
              <w:t>) indicates pending changes to contract terms.</w:t>
            </w:r>
          </w:p>
          <w:p w14:paraId="572541B1" w14:textId="39E3122B" w:rsidR="00D33D3D" w:rsidRPr="00EA10F6" w:rsidRDefault="00D33D3D" w:rsidP="00294BC5">
            <w:pPr>
              <w:pStyle w:val="Advisory"/>
            </w:pPr>
            <w:r>
              <w:t xml:space="preserve">• Click </w:t>
            </w:r>
            <w:r w:rsidR="00280661">
              <w:t xml:space="preserve">the ID-Version hyperlink to view the full assignment </w:t>
            </w:r>
            <w:r w:rsidR="00DF6BB5">
              <w:t xml:space="preserve">details </w:t>
            </w:r>
            <w:r w:rsidR="00280661">
              <w:t xml:space="preserve">record. The hyphen separates the assignment number from the version number. Each </w:t>
            </w:r>
            <w:r w:rsidR="00280661" w:rsidRPr="00D35B0C">
              <w:rPr>
                <w:b/>
              </w:rPr>
              <w:t>amendment</w:t>
            </w:r>
            <w:r w:rsidR="00280661">
              <w:t xml:space="preserve"> generates a new “version” of an assignment to represent the change to contract terms. The user can easily locate the “current” version of an assignment by looking at the version number. </w:t>
            </w:r>
            <w:r w:rsidR="00D35B0C">
              <w:t xml:space="preserve">There is no </w:t>
            </w:r>
            <w:r w:rsidR="00280661">
              <w:t>new version number</w:t>
            </w:r>
            <w:r w:rsidR="00294BC5">
              <w:t xml:space="preserve"> for </w:t>
            </w:r>
            <w:r w:rsidR="00294BC5" w:rsidRPr="00294BC5">
              <w:rPr>
                <w:b/>
              </w:rPr>
              <w:t>edits</w:t>
            </w:r>
            <w:r w:rsidR="00294BC5">
              <w:t xml:space="preserve"> since</w:t>
            </w:r>
            <w:r w:rsidR="00280661">
              <w:t xml:space="preserve"> there is no change to contract terms.</w:t>
            </w:r>
          </w:p>
        </w:tc>
      </w:tr>
    </w:tbl>
    <w:p w14:paraId="7F9E87E4" w14:textId="04532ABD" w:rsidR="00FA5D8C" w:rsidRDefault="008C0894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</w:t>
      </w:r>
      <w:r w:rsidR="003E2C24" w:rsidRPr="005516B9">
        <w:rPr>
          <w:b/>
          <w:szCs w:val="20"/>
        </w:rPr>
        <w:t>See all Actions</w:t>
      </w:r>
      <w:r w:rsidR="003E2C24">
        <w:rPr>
          <w:szCs w:val="20"/>
        </w:rPr>
        <w:t xml:space="preserve"> arrow </w:t>
      </w:r>
      <w:r w:rsidR="005516B9">
        <w:rPr>
          <w:szCs w:val="20"/>
        </w:rPr>
        <w:t>(</w:t>
      </w:r>
      <w:r w:rsidR="005516B9">
        <w:rPr>
          <w:noProof/>
        </w:rPr>
        <w:drawing>
          <wp:inline distT="0" distB="0" distL="0" distR="0" wp14:anchorId="10A283C4" wp14:editId="45A5BAD6">
            <wp:extent cx="790476" cy="11428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6B9">
        <w:rPr>
          <w:szCs w:val="20"/>
        </w:rPr>
        <w:t xml:space="preserve">) </w:t>
      </w:r>
      <w:r w:rsidR="002E076F">
        <w:rPr>
          <w:szCs w:val="20"/>
        </w:rPr>
        <w:t>in</w:t>
      </w:r>
      <w:r>
        <w:rPr>
          <w:szCs w:val="20"/>
        </w:rPr>
        <w:t xml:space="preserve"> the Actions column </w:t>
      </w:r>
      <w:r w:rsidR="005516B9">
        <w:rPr>
          <w:szCs w:val="20"/>
        </w:rPr>
        <w:t>to view the list of action options.</w:t>
      </w:r>
      <w:r w:rsidR="007822D6">
        <w:rPr>
          <w:szCs w:val="20"/>
        </w:rPr>
        <w:t xml:space="preserve"> </w:t>
      </w:r>
      <w:r w:rsidR="00294BC5">
        <w:rPr>
          <w:szCs w:val="20"/>
        </w:rPr>
        <w:t xml:space="preserve">Action options </w:t>
      </w:r>
      <w:r w:rsidR="007822D6">
        <w:rPr>
          <w:szCs w:val="20"/>
        </w:rPr>
        <w:t xml:space="preserve">vary based on the status </w:t>
      </w:r>
      <w:r w:rsidR="00294BC5">
        <w:rPr>
          <w:szCs w:val="20"/>
        </w:rPr>
        <w:t>as shown</w:t>
      </w:r>
      <w:r w:rsidR="007822D6">
        <w:rPr>
          <w:szCs w:val="20"/>
        </w:rPr>
        <w:t xml:space="preserve"> in the Current Phase column.</w:t>
      </w:r>
    </w:p>
    <w:p w14:paraId="70964994" w14:textId="089AE918" w:rsidR="005516B9" w:rsidRDefault="005516B9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</w:t>
      </w:r>
      <w:r w:rsidRPr="007822D6">
        <w:rPr>
          <w:b/>
          <w:szCs w:val="20"/>
        </w:rPr>
        <w:t>Edit Assignment</w:t>
      </w:r>
      <w:r>
        <w:rPr>
          <w:szCs w:val="20"/>
        </w:rPr>
        <w:t>. The Edit Assignment screen appears.</w:t>
      </w:r>
    </w:p>
    <w:p w14:paraId="39ED0427" w14:textId="66A7C89A" w:rsidR="00035CAC" w:rsidRDefault="00035CAC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>Scroll down to the Assignment Details section to make</w:t>
      </w:r>
      <w:r w:rsidR="000F4E6F">
        <w:rPr>
          <w:szCs w:val="20"/>
        </w:rPr>
        <w:t xml:space="preserve"> your changes (i.e., </w:t>
      </w:r>
      <w:r w:rsidRPr="00035CAC">
        <w:rPr>
          <w:b/>
          <w:color w:val="FF0000"/>
          <w:szCs w:val="20"/>
        </w:rPr>
        <w:t>edits</w:t>
      </w:r>
      <w:r w:rsidR="000F4E6F" w:rsidRPr="00167E15">
        <w:rPr>
          <w:color w:val="auto"/>
          <w:szCs w:val="20"/>
        </w:rPr>
        <w:t>)</w:t>
      </w:r>
      <w:r>
        <w:rPr>
          <w:szCs w:val="20"/>
        </w:rPr>
        <w:t xml:space="preserve"> to the assignment record.</w:t>
      </w:r>
      <w:r w:rsidR="00F27BAF">
        <w:rPr>
          <w:szCs w:val="20"/>
        </w:rPr>
        <w:t xml:space="preserve"> </w:t>
      </w:r>
      <w:r w:rsidR="00F27BAF" w:rsidRPr="00F47E20">
        <w:rPr>
          <w:szCs w:val="20"/>
        </w:rPr>
        <w:t xml:space="preserve">A </w:t>
      </w:r>
      <w:r w:rsidR="00F27BAF" w:rsidRPr="00F47E20">
        <w:rPr>
          <w:color w:val="FF0000"/>
          <w:szCs w:val="20"/>
        </w:rPr>
        <w:t xml:space="preserve">red asterisk </w:t>
      </w:r>
      <w:r w:rsidR="00F27BAF" w:rsidRPr="00F47E20">
        <w:rPr>
          <w:szCs w:val="20"/>
        </w:rPr>
        <w:t>(</w:t>
      </w:r>
      <w:r w:rsidR="00F27BAF" w:rsidRPr="00F47E20">
        <w:rPr>
          <w:color w:val="FF0000"/>
          <w:szCs w:val="20"/>
        </w:rPr>
        <w:t>*</w:t>
      </w:r>
      <w:r w:rsidR="00F27BAF" w:rsidRPr="00F47E20">
        <w:rPr>
          <w:szCs w:val="20"/>
        </w:rPr>
        <w:t xml:space="preserve">) indicates </w:t>
      </w:r>
      <w:r w:rsidR="00F27BAF">
        <w:rPr>
          <w:szCs w:val="20"/>
        </w:rPr>
        <w:t xml:space="preserve">a </w:t>
      </w:r>
      <w:r w:rsidR="00F27BAF" w:rsidRPr="00F47E20">
        <w:rPr>
          <w:szCs w:val="20"/>
        </w:rPr>
        <w:t>required field</w:t>
      </w:r>
      <w:r w:rsidR="00F27BAF">
        <w:rPr>
          <w:szCs w:val="20"/>
        </w:rPr>
        <w:t>.</w:t>
      </w:r>
    </w:p>
    <w:tbl>
      <w:tblPr>
        <w:tblW w:w="4686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123"/>
      </w:tblGrid>
      <w:tr w:rsidR="00035CAC" w:rsidRPr="006628EF" w14:paraId="271EB867" w14:textId="77777777" w:rsidTr="002A44E8">
        <w:tc>
          <w:tcPr>
            <w:tcW w:w="370" w:type="pct"/>
            <w:vAlign w:val="center"/>
          </w:tcPr>
          <w:p w14:paraId="68DE4462" w14:textId="77777777" w:rsidR="00035CAC" w:rsidRPr="00A95937" w:rsidRDefault="00035CAC" w:rsidP="00C533F2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609504C8" wp14:editId="4FE563CB">
                  <wp:extent cx="338328" cy="347472"/>
                  <wp:effectExtent l="0" t="0" r="508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pct"/>
            <w:vAlign w:val="center"/>
          </w:tcPr>
          <w:p w14:paraId="414A7D9C" w14:textId="7E29E6ED" w:rsidR="00AA4BDB" w:rsidRDefault="00035CAC" w:rsidP="00035CAC">
            <w:pPr>
              <w:pStyle w:val="Advisory"/>
              <w:spacing w:line="240" w:lineRule="auto"/>
            </w:pPr>
            <w:r>
              <w:t>Notice that the Contract Terms section</w:t>
            </w:r>
            <w:r w:rsidR="00BC1D8C">
              <w:t xml:space="preserve"> </w:t>
            </w:r>
            <w:r>
              <w:t xml:space="preserve">is “read only”. Changes to Contract Terms require an </w:t>
            </w:r>
            <w:r w:rsidRPr="00BC1D8C">
              <w:rPr>
                <w:b/>
              </w:rPr>
              <w:t>amendment</w:t>
            </w:r>
            <w:r w:rsidR="000F4E6F">
              <w:t xml:space="preserve">. </w:t>
            </w:r>
            <w:r w:rsidR="00294BC5">
              <w:t>(The amendment process is</w:t>
            </w:r>
            <w:r w:rsidR="00D355EF">
              <w:t xml:space="preserve"> </w:t>
            </w:r>
            <w:r w:rsidR="00187ACF">
              <w:t>covered in the next section</w:t>
            </w:r>
            <w:r w:rsidR="00AA4BDB">
              <w:t>.</w:t>
            </w:r>
            <w:r w:rsidR="00294BC5">
              <w:t>)</w:t>
            </w:r>
          </w:p>
          <w:p w14:paraId="0D6642D6" w14:textId="3E83A065" w:rsidR="00035CAC" w:rsidRPr="00073AB5" w:rsidRDefault="00187ACF" w:rsidP="00DF6BB5">
            <w:pPr>
              <w:pStyle w:val="Advisory"/>
              <w:spacing w:line="240" w:lineRule="auto"/>
            </w:pPr>
            <w:r w:rsidRPr="00530C35">
              <w:lastRenderedPageBreak/>
              <w:t>A</w:t>
            </w:r>
            <w:r w:rsidR="00DF6BB5">
              <w:t xml:space="preserve">ny fields </w:t>
            </w:r>
            <w:r w:rsidRPr="00530C35">
              <w:t xml:space="preserve">in </w:t>
            </w:r>
            <w:r w:rsidR="00AA4BDB" w:rsidRPr="00530C35">
              <w:t xml:space="preserve">the Assignment Details section </w:t>
            </w:r>
            <w:r w:rsidR="00DF6BB5">
              <w:t xml:space="preserve">that are </w:t>
            </w:r>
            <w:r w:rsidR="00DF6BB5" w:rsidRPr="00530C35">
              <w:t xml:space="preserve">“read only” </w:t>
            </w:r>
            <w:r w:rsidR="00BC1D8C" w:rsidRPr="00530C35">
              <w:t>are</w:t>
            </w:r>
            <w:r w:rsidRPr="00530C35">
              <w:t xml:space="preserve"> uneditable fields and t</w:t>
            </w:r>
            <w:r w:rsidR="00AA4BDB" w:rsidRPr="00530C35">
              <w:t>h</w:t>
            </w:r>
            <w:r w:rsidRPr="00530C35">
              <w:t>eir</w:t>
            </w:r>
            <w:r w:rsidR="00BC1D8C" w:rsidRPr="00530C35">
              <w:t xml:space="preserve"> content remains unchanged throughout the lifecycle of the assignment record.</w:t>
            </w:r>
          </w:p>
        </w:tc>
      </w:tr>
    </w:tbl>
    <w:p w14:paraId="0CBC1C05" w14:textId="586E6165" w:rsidR="00187ACF" w:rsidRDefault="008F4929" w:rsidP="00835299">
      <w:pPr>
        <w:keepNext/>
        <w:numPr>
          <w:ilvl w:val="0"/>
          <w:numId w:val="1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lastRenderedPageBreak/>
        <w:t xml:space="preserve">Use the </w:t>
      </w:r>
      <w:r w:rsidR="003E105D">
        <w:rPr>
          <w:szCs w:val="20"/>
        </w:rPr>
        <w:t xml:space="preserve">available </w:t>
      </w:r>
      <w:r>
        <w:rPr>
          <w:szCs w:val="20"/>
        </w:rPr>
        <w:t>edit features to make your changes:</w:t>
      </w:r>
    </w:p>
    <w:p w14:paraId="5EA3806C" w14:textId="5D3BEBCC" w:rsidR="008F4929" w:rsidRDefault="001C1A7B" w:rsidP="008F4929">
      <w:pPr>
        <w:numPr>
          <w:ilvl w:val="0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T</w:t>
      </w:r>
      <w:r w:rsidR="008F4929">
        <w:rPr>
          <w:szCs w:val="20"/>
        </w:rPr>
        <w:t>he pencil icon</w:t>
      </w:r>
      <w:r w:rsidR="006B362B">
        <w:rPr>
          <w:szCs w:val="20"/>
        </w:rPr>
        <w:t xml:space="preserve"> (</w:t>
      </w:r>
      <w:r w:rsidR="006B362B">
        <w:rPr>
          <w:noProof/>
        </w:rPr>
        <w:drawing>
          <wp:inline distT="0" distB="0" distL="0" distR="0" wp14:anchorId="310E6C95" wp14:editId="11685E5B">
            <wp:extent cx="161905" cy="15238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62B">
        <w:rPr>
          <w:szCs w:val="20"/>
        </w:rPr>
        <w:t>)</w:t>
      </w:r>
      <w:r>
        <w:rPr>
          <w:szCs w:val="20"/>
        </w:rPr>
        <w:t xml:space="preserve"> </w:t>
      </w:r>
      <w:r w:rsidR="006B362B">
        <w:rPr>
          <w:szCs w:val="20"/>
        </w:rPr>
        <w:t>open</w:t>
      </w:r>
      <w:r>
        <w:rPr>
          <w:szCs w:val="20"/>
        </w:rPr>
        <w:t>s</w:t>
      </w:r>
      <w:r w:rsidR="006B362B">
        <w:rPr>
          <w:szCs w:val="20"/>
        </w:rPr>
        <w:t xml:space="preserve"> </w:t>
      </w:r>
      <w:r w:rsidR="003E105D">
        <w:rPr>
          <w:szCs w:val="20"/>
        </w:rPr>
        <w:t>all</w:t>
      </w:r>
      <w:r w:rsidR="006B362B">
        <w:rPr>
          <w:szCs w:val="20"/>
        </w:rPr>
        <w:t xml:space="preserve"> editable fields for </w:t>
      </w:r>
      <w:r w:rsidR="008F4929">
        <w:rPr>
          <w:szCs w:val="20"/>
        </w:rPr>
        <w:t>a</w:t>
      </w:r>
      <w:r>
        <w:rPr>
          <w:szCs w:val="20"/>
        </w:rPr>
        <w:t xml:space="preserve"> specific</w:t>
      </w:r>
      <w:r w:rsidR="008F4929">
        <w:rPr>
          <w:szCs w:val="20"/>
        </w:rPr>
        <w:t xml:space="preserve"> </w:t>
      </w:r>
      <w:r w:rsidR="006B362B">
        <w:rPr>
          <w:szCs w:val="20"/>
        </w:rPr>
        <w:t>line item</w:t>
      </w:r>
      <w:r w:rsidR="008F4929">
        <w:rPr>
          <w:szCs w:val="20"/>
        </w:rPr>
        <w:t>.</w:t>
      </w:r>
    </w:p>
    <w:p w14:paraId="64C47039" w14:textId="23E3F9B9" w:rsidR="008F4929" w:rsidRDefault="001C1A7B" w:rsidP="008F4929">
      <w:pPr>
        <w:numPr>
          <w:ilvl w:val="0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T</w:t>
      </w:r>
      <w:r w:rsidR="008F4929">
        <w:rPr>
          <w:szCs w:val="20"/>
        </w:rPr>
        <w:t xml:space="preserve">he trashcan icon </w:t>
      </w:r>
      <w:r w:rsidR="006B362B">
        <w:rPr>
          <w:szCs w:val="20"/>
        </w:rPr>
        <w:t>(</w:t>
      </w:r>
      <w:r w:rsidR="006B362B">
        <w:rPr>
          <w:noProof/>
        </w:rPr>
        <w:drawing>
          <wp:inline distT="0" distB="0" distL="0" distR="0" wp14:anchorId="7F80C105" wp14:editId="0979D335">
            <wp:extent cx="161905" cy="17142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62B">
        <w:rPr>
          <w:szCs w:val="20"/>
        </w:rPr>
        <w:t>)</w:t>
      </w:r>
      <w:r>
        <w:rPr>
          <w:szCs w:val="20"/>
        </w:rPr>
        <w:t xml:space="preserve"> </w:t>
      </w:r>
      <w:r w:rsidR="008F4929">
        <w:rPr>
          <w:szCs w:val="20"/>
        </w:rPr>
        <w:t>delete</w:t>
      </w:r>
      <w:r>
        <w:rPr>
          <w:szCs w:val="20"/>
        </w:rPr>
        <w:t>s</w:t>
      </w:r>
      <w:r w:rsidR="008F4929">
        <w:rPr>
          <w:szCs w:val="20"/>
        </w:rPr>
        <w:t xml:space="preserve"> </w:t>
      </w:r>
      <w:r>
        <w:rPr>
          <w:szCs w:val="20"/>
        </w:rPr>
        <w:t>the</w:t>
      </w:r>
      <w:r w:rsidR="008F4929">
        <w:rPr>
          <w:szCs w:val="20"/>
        </w:rPr>
        <w:t xml:space="preserve"> line item.</w:t>
      </w:r>
    </w:p>
    <w:p w14:paraId="4D690943" w14:textId="3461228C" w:rsidR="008F4929" w:rsidRDefault="001C1A7B" w:rsidP="008F4929">
      <w:pPr>
        <w:numPr>
          <w:ilvl w:val="0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T</w:t>
      </w:r>
      <w:r w:rsidR="008F4929">
        <w:rPr>
          <w:szCs w:val="20"/>
        </w:rPr>
        <w:t xml:space="preserve">he Add New button </w:t>
      </w:r>
      <w:r w:rsidR="006B362B">
        <w:rPr>
          <w:szCs w:val="20"/>
        </w:rPr>
        <w:t>(</w:t>
      </w:r>
      <w:r w:rsidR="006B362B">
        <w:rPr>
          <w:noProof/>
        </w:rPr>
        <w:drawing>
          <wp:inline distT="0" distB="0" distL="0" distR="0" wp14:anchorId="46C6CB35" wp14:editId="536E8FDD">
            <wp:extent cx="733333" cy="2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05D">
        <w:rPr>
          <w:szCs w:val="20"/>
        </w:rPr>
        <w:t>)</w:t>
      </w:r>
      <w:r>
        <w:rPr>
          <w:szCs w:val="20"/>
        </w:rPr>
        <w:t xml:space="preserve"> </w:t>
      </w:r>
      <w:r w:rsidR="008F4929">
        <w:rPr>
          <w:szCs w:val="20"/>
        </w:rPr>
        <w:t>add</w:t>
      </w:r>
      <w:r>
        <w:rPr>
          <w:szCs w:val="20"/>
        </w:rPr>
        <w:t>s</w:t>
      </w:r>
      <w:r w:rsidR="008F4929">
        <w:rPr>
          <w:szCs w:val="20"/>
        </w:rPr>
        <w:t xml:space="preserve"> a line item.</w:t>
      </w:r>
    </w:p>
    <w:p w14:paraId="48CF649F" w14:textId="525CE000" w:rsidR="003E105D" w:rsidRDefault="00835299" w:rsidP="008F4929">
      <w:pPr>
        <w:numPr>
          <w:ilvl w:val="0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T</w:t>
      </w:r>
      <w:r w:rsidR="003E105D">
        <w:rPr>
          <w:szCs w:val="20"/>
        </w:rPr>
        <w:t xml:space="preserve">he </w:t>
      </w:r>
      <w:r w:rsidR="00787772">
        <w:rPr>
          <w:szCs w:val="20"/>
        </w:rPr>
        <w:t>c</w:t>
      </w:r>
      <w:r w:rsidR="003E105D">
        <w:rPr>
          <w:szCs w:val="20"/>
        </w:rPr>
        <w:t>alendar date picker (</w:t>
      </w:r>
      <w:r w:rsidR="003E105D">
        <w:rPr>
          <w:noProof/>
        </w:rPr>
        <w:drawing>
          <wp:inline distT="0" distB="0" distL="0" distR="0" wp14:anchorId="4331BEE9" wp14:editId="6675D100">
            <wp:extent cx="171429" cy="133333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05D">
        <w:rPr>
          <w:szCs w:val="20"/>
        </w:rPr>
        <w:t xml:space="preserve">) </w:t>
      </w:r>
      <w:r>
        <w:rPr>
          <w:szCs w:val="20"/>
        </w:rPr>
        <w:t>lets you select a</w:t>
      </w:r>
      <w:r w:rsidR="003E105D">
        <w:rPr>
          <w:szCs w:val="20"/>
        </w:rPr>
        <w:t xml:space="preserve"> date</w:t>
      </w:r>
      <w:r>
        <w:rPr>
          <w:szCs w:val="20"/>
        </w:rPr>
        <w:t xml:space="preserve"> ent</w:t>
      </w:r>
      <w:r w:rsidR="00787772">
        <w:rPr>
          <w:szCs w:val="20"/>
        </w:rPr>
        <w:t>ry</w:t>
      </w:r>
      <w:r>
        <w:rPr>
          <w:szCs w:val="20"/>
        </w:rPr>
        <w:t xml:space="preserve"> where in</w:t>
      </w:r>
      <w:r w:rsidR="003E105D">
        <w:rPr>
          <w:szCs w:val="20"/>
        </w:rPr>
        <w:t>dicated.</w:t>
      </w:r>
    </w:p>
    <w:p w14:paraId="5CC5EE8A" w14:textId="2AE4F992" w:rsidR="003E105D" w:rsidRDefault="00835299" w:rsidP="008F4929">
      <w:pPr>
        <w:numPr>
          <w:ilvl w:val="0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T</w:t>
      </w:r>
      <w:r w:rsidR="003E105D">
        <w:rPr>
          <w:szCs w:val="20"/>
        </w:rPr>
        <w:t>he question icon (</w:t>
      </w:r>
      <w:r w:rsidR="003E105D">
        <w:rPr>
          <w:noProof/>
        </w:rPr>
        <w:drawing>
          <wp:inline distT="0" distB="0" distL="0" distR="0" wp14:anchorId="05960F58" wp14:editId="68D754B8">
            <wp:extent cx="142857" cy="13333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05D">
        <w:rPr>
          <w:szCs w:val="20"/>
        </w:rPr>
        <w:t xml:space="preserve">) </w:t>
      </w:r>
      <w:r>
        <w:rPr>
          <w:szCs w:val="20"/>
        </w:rPr>
        <w:t>provides</w:t>
      </w:r>
      <w:r w:rsidR="003E105D">
        <w:rPr>
          <w:szCs w:val="20"/>
        </w:rPr>
        <w:t xml:space="preserve"> insights/tips </w:t>
      </w:r>
      <w:r w:rsidR="001C1A7B">
        <w:rPr>
          <w:szCs w:val="20"/>
        </w:rPr>
        <w:t xml:space="preserve">for </w:t>
      </w:r>
      <w:r>
        <w:rPr>
          <w:szCs w:val="20"/>
        </w:rPr>
        <w:t xml:space="preserve">specific </w:t>
      </w:r>
      <w:r w:rsidR="001C1A7B">
        <w:rPr>
          <w:szCs w:val="20"/>
        </w:rPr>
        <w:t>data fields.</w:t>
      </w:r>
    </w:p>
    <w:p w14:paraId="51818886" w14:textId="1D738E3A" w:rsidR="001C1A7B" w:rsidRDefault="001C1A7B" w:rsidP="00835299">
      <w:pPr>
        <w:numPr>
          <w:ilvl w:val="0"/>
          <w:numId w:val="31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>Use the</w:t>
      </w:r>
      <w:r w:rsidR="00835299">
        <w:rPr>
          <w:szCs w:val="20"/>
        </w:rPr>
        <w:t xml:space="preserve"> other features as needed.</w:t>
      </w:r>
    </w:p>
    <w:p w14:paraId="56D701BF" w14:textId="41E3C185" w:rsidR="00C3500B" w:rsidRDefault="00B36DF1" w:rsidP="007A0FCE">
      <w:pPr>
        <w:numPr>
          <w:ilvl w:val="0"/>
          <w:numId w:val="1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Click </w:t>
      </w:r>
      <w:r w:rsidRPr="007A0FCE">
        <w:rPr>
          <w:b/>
          <w:szCs w:val="20"/>
        </w:rPr>
        <w:t>Submit</w:t>
      </w:r>
      <w:r>
        <w:rPr>
          <w:szCs w:val="20"/>
        </w:rPr>
        <w:t xml:space="preserve"> to save your edit(s). If no errors are detected, the screen refreshes and indicates, </w:t>
      </w:r>
      <w:r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t xml:space="preserve">You have submitted successfully. </w:t>
      </w:r>
      <w:r w:rsidR="00690AE1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br/>
      </w:r>
      <w:r>
        <w:rPr>
          <w:szCs w:val="20"/>
        </w:rPr>
        <w:t xml:space="preserve">If </w:t>
      </w:r>
      <w:r w:rsidR="00690AE1">
        <w:rPr>
          <w:szCs w:val="20"/>
        </w:rPr>
        <w:t xml:space="preserve">your submit is </w:t>
      </w:r>
      <w:r>
        <w:rPr>
          <w:szCs w:val="20"/>
        </w:rPr>
        <w:t xml:space="preserve">unsuccessful, check the error alerts and adjust as indicated, then click </w:t>
      </w:r>
      <w:r w:rsidRPr="00D30FC6">
        <w:rPr>
          <w:b/>
          <w:szCs w:val="20"/>
        </w:rPr>
        <w:t>Submit</w:t>
      </w:r>
      <w:r>
        <w:rPr>
          <w:szCs w:val="20"/>
        </w:rPr>
        <w:t xml:space="preserve"> again.</w:t>
      </w:r>
      <w:r w:rsidR="00D355EF">
        <w:rPr>
          <w:szCs w:val="20"/>
        </w:rPr>
        <w:t xml:space="preserve"> Edits go into effect immediately once </w:t>
      </w:r>
      <w:r w:rsidR="00935DD2">
        <w:rPr>
          <w:szCs w:val="20"/>
        </w:rPr>
        <w:t>your</w:t>
      </w:r>
      <w:r w:rsidR="00D355EF">
        <w:rPr>
          <w:szCs w:val="20"/>
        </w:rPr>
        <w:t xml:space="preserve"> submit is successful.</w:t>
      </w:r>
    </w:p>
    <w:p w14:paraId="5983D070" w14:textId="77777777" w:rsidR="0030393A" w:rsidRPr="00990C92" w:rsidRDefault="0030393A" w:rsidP="007A0FCE">
      <w:pPr>
        <w:numPr>
          <w:ilvl w:val="0"/>
          <w:numId w:val="10"/>
        </w:numPr>
        <w:tabs>
          <w:tab w:val="left" w:pos="40"/>
        </w:tabs>
        <w:spacing w:after="0" w:line="276" w:lineRule="auto"/>
        <w:rPr>
          <w:szCs w:val="20"/>
        </w:rPr>
        <w:sectPr w:rsidR="0030393A" w:rsidRPr="00990C92" w:rsidSect="00BE1EE1">
          <w:headerReference w:type="default" r:id="rId26"/>
          <w:footerReference w:type="default" r:id="rId27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26DE82EC" w14:textId="4E017F0A" w:rsidR="00073AB5" w:rsidRDefault="00073AB5" w:rsidP="00073AB5">
      <w:pPr>
        <w:ind w:left="720"/>
        <w:rPr>
          <w:color w:val="C00000"/>
        </w:rPr>
      </w:pPr>
    </w:p>
    <w:p w14:paraId="12D0E24F" w14:textId="6F0493B0" w:rsidR="007A7DDF" w:rsidRPr="007066E3" w:rsidRDefault="007A7DDF" w:rsidP="007A7DDF">
      <w:pPr>
        <w:pStyle w:val="Heading2"/>
      </w:pPr>
      <w:r>
        <w:t xml:space="preserve">To </w:t>
      </w:r>
      <w:r w:rsidRPr="007A7DDF">
        <w:rPr>
          <w:color w:val="FF0000"/>
        </w:rPr>
        <w:t>amend</w:t>
      </w:r>
      <w:r>
        <w:t xml:space="preserve"> an assignment (</w:t>
      </w:r>
      <w:r w:rsidR="00264574">
        <w:t>Contract Terms</w:t>
      </w:r>
      <w:r>
        <w:t>):</w:t>
      </w:r>
    </w:p>
    <w:p w14:paraId="7286A093" w14:textId="34BE69DE" w:rsidR="007A7DDF" w:rsidRPr="00722937" w:rsidRDefault="00D476BA" w:rsidP="007A7DD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>Complete Steps 1 through 6 as described in the section above</w:t>
      </w:r>
      <w:r w:rsidR="007A7DDF" w:rsidRPr="00451618">
        <w:rPr>
          <w:i/>
          <w:szCs w:val="20"/>
        </w:rPr>
        <w:t>.</w:t>
      </w:r>
    </w:p>
    <w:p w14:paraId="16DCD3AC" w14:textId="7F898A4D" w:rsidR="009E1A94" w:rsidRDefault="009E1A94" w:rsidP="007A7DD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Notice that </w:t>
      </w:r>
      <w:r w:rsidRPr="002817F8">
        <w:rPr>
          <w:b/>
          <w:szCs w:val="20"/>
        </w:rPr>
        <w:t>all</w:t>
      </w:r>
      <w:r>
        <w:rPr>
          <w:szCs w:val="20"/>
        </w:rPr>
        <w:t xml:space="preserve"> the fields in the Contract Terms section are “read only” while the rest of the assignment record is in &lt;edit&gt; mode.</w:t>
      </w:r>
    </w:p>
    <w:p w14:paraId="13810F9C" w14:textId="1FC3DC45" w:rsidR="009E1A94" w:rsidRDefault="009E1A94" w:rsidP="007A7DD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>Click the</w:t>
      </w:r>
      <w:r w:rsidR="004D7054">
        <w:rPr>
          <w:szCs w:val="20"/>
        </w:rPr>
        <w:t xml:space="preserve"> </w:t>
      </w:r>
      <w:r w:rsidR="004D7054" w:rsidRPr="004D7054">
        <w:rPr>
          <w:b/>
          <w:szCs w:val="20"/>
        </w:rPr>
        <w:t>Amend</w:t>
      </w:r>
      <w:r w:rsidR="004D7054">
        <w:rPr>
          <w:szCs w:val="20"/>
        </w:rPr>
        <w:t xml:space="preserve"> button located in the upper right-hand side of the screen. The Contract Terms section is now in &lt;</w:t>
      </w:r>
      <w:r w:rsidR="0078460D">
        <w:rPr>
          <w:szCs w:val="20"/>
        </w:rPr>
        <w:t>amend</w:t>
      </w:r>
      <w:r w:rsidR="002817F8">
        <w:rPr>
          <w:szCs w:val="20"/>
        </w:rPr>
        <w:t xml:space="preserve"> edit</w:t>
      </w:r>
      <w:r w:rsidR="004D7054">
        <w:rPr>
          <w:szCs w:val="20"/>
        </w:rPr>
        <w:t>&gt; mode.</w:t>
      </w:r>
    </w:p>
    <w:p w14:paraId="3B4D9185" w14:textId="1E51964D" w:rsidR="004D7054" w:rsidRDefault="004D7054" w:rsidP="007A7DD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Use the calendar </w:t>
      </w:r>
      <w:r w:rsidR="00787772">
        <w:rPr>
          <w:szCs w:val="20"/>
        </w:rPr>
        <w:t xml:space="preserve">date </w:t>
      </w:r>
      <w:r>
        <w:rPr>
          <w:szCs w:val="20"/>
        </w:rPr>
        <w:t xml:space="preserve">picker </w:t>
      </w:r>
      <w:r w:rsidR="006A0483">
        <w:rPr>
          <w:szCs w:val="20"/>
        </w:rPr>
        <w:t>(</w:t>
      </w:r>
      <w:r w:rsidR="006A0483">
        <w:rPr>
          <w:noProof/>
        </w:rPr>
        <w:drawing>
          <wp:inline distT="0" distB="0" distL="0" distR="0" wp14:anchorId="756970D4" wp14:editId="691A687A">
            <wp:extent cx="171429" cy="133333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483">
        <w:rPr>
          <w:szCs w:val="20"/>
        </w:rPr>
        <w:t xml:space="preserve">) </w:t>
      </w:r>
      <w:r>
        <w:rPr>
          <w:szCs w:val="20"/>
        </w:rPr>
        <w:t xml:space="preserve">or manually enter a date in the Effective Date field. This </w:t>
      </w:r>
      <w:r w:rsidR="006A0483">
        <w:rPr>
          <w:szCs w:val="20"/>
        </w:rPr>
        <w:t>designates</w:t>
      </w:r>
      <w:r>
        <w:rPr>
          <w:szCs w:val="20"/>
        </w:rPr>
        <w:t xml:space="preserve"> the date that your </w:t>
      </w:r>
      <w:r w:rsidRPr="00D476BA">
        <w:rPr>
          <w:b/>
          <w:szCs w:val="20"/>
        </w:rPr>
        <w:t>approved</w:t>
      </w:r>
      <w:r>
        <w:rPr>
          <w:szCs w:val="20"/>
        </w:rPr>
        <w:t xml:space="preserve"> change</w:t>
      </w:r>
      <w:r w:rsidR="001D5FA4">
        <w:rPr>
          <w:szCs w:val="20"/>
        </w:rPr>
        <w:t>(s)</w:t>
      </w:r>
      <w:r>
        <w:rPr>
          <w:szCs w:val="20"/>
        </w:rPr>
        <w:t xml:space="preserve"> will take effect.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4B13E3" w:rsidRPr="006628EF" w14:paraId="1C950A40" w14:textId="77777777" w:rsidTr="009E1C01">
        <w:tc>
          <w:tcPr>
            <w:tcW w:w="433" w:type="pct"/>
            <w:vAlign w:val="center"/>
          </w:tcPr>
          <w:p w14:paraId="3AC155C8" w14:textId="77777777" w:rsidR="004B13E3" w:rsidRPr="00A95937" w:rsidRDefault="004B13E3" w:rsidP="009E1C01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1CB70C93" wp14:editId="356A1648">
                  <wp:extent cx="338328" cy="347472"/>
                  <wp:effectExtent l="0" t="0" r="508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2604AE07" w14:textId="5A41EAA5" w:rsidR="004B13E3" w:rsidRPr="00073AB5" w:rsidRDefault="004B13E3" w:rsidP="00787772">
            <w:pPr>
              <w:pStyle w:val="Advisory"/>
              <w:spacing w:line="240" w:lineRule="auto"/>
            </w:pPr>
            <w:r>
              <w:t>When exten</w:t>
            </w:r>
            <w:r w:rsidR="000537D7">
              <w:t>ding</w:t>
            </w:r>
            <w:r>
              <w:t xml:space="preserve"> an assignment, if the</w:t>
            </w:r>
            <w:r w:rsidR="000537D7">
              <w:t xml:space="preserve"> assignment’s End Date is already in the past, then you must enter that End Date as the Effective Date to ensure there are no gaps in the assignment’s duration</w:t>
            </w:r>
            <w:r w:rsidRPr="00530C35">
              <w:t>.</w:t>
            </w:r>
            <w:r w:rsidR="000537D7">
              <w:t xml:space="preserve"> If the End Date is a FUTURE date, then enter </w:t>
            </w:r>
            <w:r w:rsidR="000537D7" w:rsidRPr="000537D7">
              <w:rPr>
                <w:b/>
              </w:rPr>
              <w:t>today’s</w:t>
            </w:r>
            <w:r w:rsidR="000537D7">
              <w:t xml:space="preserve"> date. This ensures that the extension goes to the Supplier for acceptance </w:t>
            </w:r>
            <w:r w:rsidR="00787772">
              <w:t>as soon as</w:t>
            </w:r>
            <w:r w:rsidR="00165B93">
              <w:t xml:space="preserve"> the extension</w:t>
            </w:r>
            <w:r w:rsidR="002817F8">
              <w:t xml:space="preserve"> (i.e., amendment)</w:t>
            </w:r>
            <w:r w:rsidR="00165B93">
              <w:t xml:space="preserve"> is approved.</w:t>
            </w:r>
          </w:p>
        </w:tc>
      </w:tr>
    </w:tbl>
    <w:p w14:paraId="12518ED4" w14:textId="77777777" w:rsidR="006A0483" w:rsidRDefault="00397030" w:rsidP="00F62D1C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 w:rsidRPr="00F47E20">
        <w:rPr>
          <w:szCs w:val="20"/>
        </w:rPr>
        <w:t xml:space="preserve">Make changes </w:t>
      </w:r>
      <w:r w:rsidR="001D5FA4">
        <w:rPr>
          <w:szCs w:val="20"/>
        </w:rPr>
        <w:t xml:space="preserve">in the Contract Terms section </w:t>
      </w:r>
      <w:r w:rsidRPr="00F47E20">
        <w:rPr>
          <w:szCs w:val="20"/>
        </w:rPr>
        <w:t xml:space="preserve">as </w:t>
      </w:r>
      <w:r w:rsidR="006A0483">
        <w:rPr>
          <w:szCs w:val="20"/>
        </w:rPr>
        <w:t>needed</w:t>
      </w:r>
      <w:r w:rsidRPr="00F47E20">
        <w:rPr>
          <w:szCs w:val="20"/>
        </w:rPr>
        <w:t xml:space="preserve">. </w:t>
      </w:r>
      <w:r w:rsidR="00264574" w:rsidRPr="00F47E20">
        <w:rPr>
          <w:szCs w:val="20"/>
        </w:rPr>
        <w:t xml:space="preserve">A </w:t>
      </w:r>
      <w:r w:rsidR="00264574" w:rsidRPr="00F47E20">
        <w:rPr>
          <w:color w:val="FF0000"/>
          <w:szCs w:val="20"/>
        </w:rPr>
        <w:t xml:space="preserve">red asterisk </w:t>
      </w:r>
      <w:r w:rsidR="00264574" w:rsidRPr="00F47E20">
        <w:rPr>
          <w:szCs w:val="20"/>
        </w:rPr>
        <w:t>(</w:t>
      </w:r>
      <w:r w:rsidR="00264574" w:rsidRPr="00F47E20">
        <w:rPr>
          <w:color w:val="FF0000"/>
          <w:szCs w:val="20"/>
        </w:rPr>
        <w:t>*</w:t>
      </w:r>
      <w:r w:rsidR="00264574" w:rsidRPr="00F47E20">
        <w:rPr>
          <w:szCs w:val="20"/>
        </w:rPr>
        <w:t xml:space="preserve">) indicates </w:t>
      </w:r>
      <w:r w:rsidR="00F27BAF">
        <w:rPr>
          <w:szCs w:val="20"/>
        </w:rPr>
        <w:t xml:space="preserve">a </w:t>
      </w:r>
      <w:r w:rsidR="00264574" w:rsidRPr="00F47E20">
        <w:rPr>
          <w:szCs w:val="20"/>
        </w:rPr>
        <w:t>r</w:t>
      </w:r>
      <w:r w:rsidRPr="00F47E20">
        <w:rPr>
          <w:szCs w:val="20"/>
        </w:rPr>
        <w:t>equired field.</w:t>
      </w:r>
      <w:r w:rsidR="005A622C" w:rsidRPr="00F47E20">
        <w:rPr>
          <w:szCs w:val="20"/>
        </w:rPr>
        <w:t xml:space="preserve"> </w:t>
      </w:r>
      <w:r w:rsidR="00D355EF">
        <w:rPr>
          <w:szCs w:val="20"/>
        </w:rPr>
        <w:t>The b</w:t>
      </w:r>
      <w:r w:rsidR="005A622C" w:rsidRPr="00F47E20">
        <w:rPr>
          <w:szCs w:val="20"/>
        </w:rPr>
        <w:t xml:space="preserve">udget-impacted fields </w:t>
      </w:r>
      <w:r w:rsidR="00835299">
        <w:rPr>
          <w:szCs w:val="20"/>
        </w:rPr>
        <w:t xml:space="preserve">will </w:t>
      </w:r>
      <w:r w:rsidR="005A622C" w:rsidRPr="00F47E20">
        <w:rPr>
          <w:szCs w:val="20"/>
        </w:rPr>
        <w:t xml:space="preserve">auto-calculate based on your </w:t>
      </w:r>
      <w:r w:rsidR="00F47E20" w:rsidRPr="00F47E20">
        <w:rPr>
          <w:szCs w:val="20"/>
        </w:rPr>
        <w:t>entries</w:t>
      </w:r>
      <w:r w:rsidR="005A622C" w:rsidRPr="00F47E20">
        <w:rPr>
          <w:szCs w:val="20"/>
        </w:rPr>
        <w:t>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6A0483" w:rsidRPr="006628EF" w14:paraId="19BA9820" w14:textId="77777777" w:rsidTr="009E1C01">
        <w:tc>
          <w:tcPr>
            <w:tcW w:w="433" w:type="pct"/>
            <w:vAlign w:val="center"/>
          </w:tcPr>
          <w:p w14:paraId="57300303" w14:textId="77777777" w:rsidR="006A0483" w:rsidRPr="00A95937" w:rsidRDefault="006A0483" w:rsidP="009E1C01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266ABE12" wp14:editId="680A8616">
                  <wp:extent cx="338328" cy="347472"/>
                  <wp:effectExtent l="0" t="0" r="508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0DEB5F7B" w14:textId="119B2A1E" w:rsidR="006A0483" w:rsidRPr="00073AB5" w:rsidRDefault="006A0483" w:rsidP="00935DD2">
            <w:pPr>
              <w:pStyle w:val="Advisory"/>
              <w:spacing w:line="240" w:lineRule="auto"/>
            </w:pPr>
            <w:r>
              <w:t>A</w:t>
            </w:r>
            <w:r w:rsidRPr="00F47E20">
              <w:t xml:space="preserve">djustments </w:t>
            </w:r>
            <w:r>
              <w:t xml:space="preserve">may be </w:t>
            </w:r>
            <w:r w:rsidRPr="00F47E20">
              <w:t xml:space="preserve">made to </w:t>
            </w:r>
            <w:r>
              <w:t xml:space="preserve">data fields in other sections at this time, but they will be processed as </w:t>
            </w:r>
            <w:r w:rsidRPr="006A0483">
              <w:rPr>
                <w:b/>
              </w:rPr>
              <w:t>edits</w:t>
            </w:r>
            <w:r>
              <w:t xml:space="preserve"> and not update based on </w:t>
            </w:r>
            <w:r w:rsidR="00935DD2">
              <w:t>your</w:t>
            </w:r>
            <w:r w:rsidR="00013CBC">
              <w:t xml:space="preserve"> designated</w:t>
            </w:r>
            <w:r>
              <w:t xml:space="preserve"> Effective Date; they will be effective immediately once </w:t>
            </w:r>
            <w:r w:rsidR="00013CBC">
              <w:t>your</w:t>
            </w:r>
            <w:r>
              <w:t xml:space="preserve"> submit is successful</w:t>
            </w:r>
            <w:r w:rsidRPr="00530C35">
              <w:t>.</w:t>
            </w:r>
          </w:p>
        </w:tc>
      </w:tr>
    </w:tbl>
    <w:p w14:paraId="5558C7CB" w14:textId="6644CB63" w:rsidR="005A622C" w:rsidRDefault="005A622C" w:rsidP="00D30FC6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</w:t>
      </w:r>
      <w:r w:rsidRPr="007A0FCE">
        <w:rPr>
          <w:b/>
          <w:szCs w:val="20"/>
        </w:rPr>
        <w:t>Submit</w:t>
      </w:r>
      <w:r>
        <w:rPr>
          <w:szCs w:val="20"/>
        </w:rPr>
        <w:t xml:space="preserve"> to save your </w:t>
      </w:r>
      <w:r w:rsidR="00B36DF1">
        <w:rPr>
          <w:szCs w:val="20"/>
        </w:rPr>
        <w:t>change</w:t>
      </w:r>
      <w:r>
        <w:rPr>
          <w:szCs w:val="20"/>
        </w:rPr>
        <w:t xml:space="preserve">(s). </w:t>
      </w:r>
      <w:r w:rsidR="00D30FC6">
        <w:rPr>
          <w:szCs w:val="20"/>
        </w:rPr>
        <w:t>If no errors are detected, t</w:t>
      </w:r>
      <w:r>
        <w:rPr>
          <w:szCs w:val="20"/>
        </w:rPr>
        <w:t xml:space="preserve">he screen refreshes and indicates, </w:t>
      </w:r>
      <w:r w:rsidR="00935DD2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t>You have submitted successfully. If you would like to add approvers, click "Add" button.</w:t>
      </w:r>
      <w:r w:rsidR="00935DD2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br/>
      </w:r>
      <w:r w:rsidR="00C36D3F">
        <w:rPr>
          <w:szCs w:val="20"/>
        </w:rPr>
        <w:t xml:space="preserve">Click </w:t>
      </w:r>
      <w:r w:rsidR="00C36D3F" w:rsidRPr="00C36D3F">
        <w:rPr>
          <w:b/>
          <w:szCs w:val="20"/>
        </w:rPr>
        <w:t>Submit</w:t>
      </w:r>
      <w:r w:rsidR="00C36D3F">
        <w:rPr>
          <w:szCs w:val="20"/>
        </w:rPr>
        <w:t xml:space="preserve"> again to complete your amendment request. The status updates to</w:t>
      </w:r>
      <w:r w:rsidR="00787772">
        <w:rPr>
          <w:szCs w:val="20"/>
        </w:rPr>
        <w:t xml:space="preserve"> </w:t>
      </w:r>
      <w:r w:rsidR="00C36D3F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t>You have submitted successfully.</w:t>
      </w:r>
      <w:r w:rsidR="00C36D3F">
        <w:rPr>
          <w:szCs w:val="20"/>
        </w:rPr>
        <w:t xml:space="preserve"> A </w:t>
      </w:r>
      <w:r w:rsidR="00440714">
        <w:rPr>
          <w:szCs w:val="20"/>
        </w:rPr>
        <w:t xml:space="preserve">summary of </w:t>
      </w:r>
      <w:r w:rsidR="00C36D3F">
        <w:rPr>
          <w:szCs w:val="20"/>
        </w:rPr>
        <w:t>your</w:t>
      </w:r>
      <w:r w:rsidR="00D355EF">
        <w:rPr>
          <w:szCs w:val="20"/>
        </w:rPr>
        <w:t xml:space="preserve"> </w:t>
      </w:r>
      <w:r w:rsidR="00440714">
        <w:rPr>
          <w:szCs w:val="20"/>
        </w:rPr>
        <w:t xml:space="preserve">AMENDMENTS </w:t>
      </w:r>
      <w:r w:rsidR="00C36D3F">
        <w:rPr>
          <w:szCs w:val="20"/>
        </w:rPr>
        <w:t xml:space="preserve">displays </w:t>
      </w:r>
      <w:r w:rsidR="00440714">
        <w:rPr>
          <w:szCs w:val="20"/>
        </w:rPr>
        <w:t>in the Contract Terms section.</w:t>
      </w:r>
      <w:r w:rsidR="00031609">
        <w:rPr>
          <w:szCs w:val="20"/>
        </w:rPr>
        <w:br/>
      </w:r>
      <w:r w:rsidR="00031609" w:rsidRPr="00031609">
        <w:rPr>
          <w:szCs w:val="20"/>
        </w:rPr>
        <w:t xml:space="preserve">If </w:t>
      </w:r>
      <w:r w:rsidR="00031609">
        <w:rPr>
          <w:szCs w:val="20"/>
        </w:rPr>
        <w:t xml:space="preserve">your submit is </w:t>
      </w:r>
      <w:r w:rsidR="00031609" w:rsidRPr="00031609">
        <w:rPr>
          <w:szCs w:val="20"/>
        </w:rPr>
        <w:t xml:space="preserve">unsuccessful, check the error alerts and adjust as indicated, then click </w:t>
      </w:r>
      <w:r w:rsidR="00031609" w:rsidRPr="00031609">
        <w:rPr>
          <w:b/>
          <w:szCs w:val="20"/>
        </w:rPr>
        <w:t>Submit</w:t>
      </w:r>
      <w:r w:rsidR="00031609" w:rsidRPr="00031609">
        <w:rPr>
          <w:szCs w:val="20"/>
        </w:rPr>
        <w:t xml:space="preserve"> again.</w:t>
      </w:r>
      <w:r w:rsidR="00031609">
        <w:rPr>
          <w:szCs w:val="20"/>
        </w:rPr>
        <w:t xml:space="preserve"> Keep making adjustments as indicated by the error alerts until your submit is successful.</w:t>
      </w:r>
    </w:p>
    <w:p w14:paraId="0D99F9A2" w14:textId="2F068DB3" w:rsidR="00A3211D" w:rsidRDefault="00A3211D" w:rsidP="00D30FC6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 w:rsidRPr="00F3295F">
        <w:rPr>
          <w:szCs w:val="20"/>
        </w:rPr>
        <w:t>Click</w:t>
      </w:r>
      <w:r w:rsidR="00F3295F">
        <w:rPr>
          <w:szCs w:val="20"/>
        </w:rPr>
        <w:t xml:space="preserve"> the </w:t>
      </w:r>
      <w:r w:rsidR="00F3295F" w:rsidRPr="00F3295F">
        <w:rPr>
          <w:rStyle w:val="Strong"/>
        </w:rPr>
        <w:t>Return To My Positions</w:t>
      </w:r>
      <w:r>
        <w:rPr>
          <w:szCs w:val="20"/>
        </w:rPr>
        <w:t xml:space="preserve"> </w:t>
      </w:r>
      <w:r w:rsidR="00F3295F">
        <w:rPr>
          <w:szCs w:val="20"/>
        </w:rPr>
        <w:t>button to return to your Manage/Assignments list.</w:t>
      </w:r>
    </w:p>
    <w:p w14:paraId="4234BC1E" w14:textId="3B56AD00" w:rsidR="00440714" w:rsidRDefault="00440714" w:rsidP="0030393A">
      <w:pPr>
        <w:tabs>
          <w:tab w:val="left" w:pos="40"/>
        </w:tabs>
        <w:spacing w:line="276" w:lineRule="auto"/>
        <w:ind w:left="720"/>
        <w:rPr>
          <w:szCs w:val="20"/>
        </w:rPr>
      </w:pPr>
      <w:r w:rsidRPr="00975E08">
        <w:rPr>
          <w:i/>
          <w:szCs w:val="20"/>
        </w:rPr>
        <w:t>Optional</w:t>
      </w:r>
      <w:r>
        <w:rPr>
          <w:szCs w:val="20"/>
        </w:rPr>
        <w:t xml:space="preserve">. </w:t>
      </w:r>
      <w:r w:rsidR="00F3295F">
        <w:rPr>
          <w:szCs w:val="20"/>
        </w:rPr>
        <w:t xml:space="preserve">At any time during the amendment approval process, you can return to the Edit Assignment record and click </w:t>
      </w:r>
      <w:r w:rsidR="00975E08">
        <w:rPr>
          <w:szCs w:val="20"/>
        </w:rPr>
        <w:t xml:space="preserve">the </w:t>
      </w:r>
      <w:r w:rsidRPr="00975E08">
        <w:rPr>
          <w:b/>
          <w:szCs w:val="20"/>
        </w:rPr>
        <w:t>Retract</w:t>
      </w:r>
      <w:r w:rsidR="00975E08">
        <w:rPr>
          <w:szCs w:val="20"/>
        </w:rPr>
        <w:t xml:space="preserve"> button to cancel </w:t>
      </w:r>
      <w:r w:rsidR="00F50FCC">
        <w:rPr>
          <w:szCs w:val="20"/>
        </w:rPr>
        <w:t xml:space="preserve">the </w:t>
      </w:r>
      <w:r w:rsidR="00975E08">
        <w:rPr>
          <w:szCs w:val="20"/>
        </w:rPr>
        <w:t xml:space="preserve">changes you made to the Contract Terms. </w:t>
      </w:r>
      <w:r w:rsidR="00F50FCC">
        <w:rPr>
          <w:szCs w:val="20"/>
        </w:rPr>
        <w:t xml:space="preserve">Once you click Retract, a dialog window opens. Indicate your reason from the </w:t>
      </w:r>
      <w:r w:rsidR="00787772">
        <w:rPr>
          <w:szCs w:val="20"/>
        </w:rPr>
        <w:t>displayed</w:t>
      </w:r>
      <w:r w:rsidR="00F50FCC">
        <w:rPr>
          <w:szCs w:val="20"/>
        </w:rPr>
        <w:t xml:space="preserve"> list or use the Other Reason text box to explain your retraction. Click </w:t>
      </w:r>
      <w:r w:rsidR="00F50FCC" w:rsidRPr="00F50FCC">
        <w:rPr>
          <w:b/>
          <w:szCs w:val="20"/>
        </w:rPr>
        <w:t>Submit</w:t>
      </w:r>
      <w:r w:rsidR="00F50FCC">
        <w:rPr>
          <w:szCs w:val="20"/>
        </w:rPr>
        <w:t xml:space="preserve"> to complete your re</w:t>
      </w:r>
      <w:r w:rsidR="00A12969">
        <w:rPr>
          <w:szCs w:val="20"/>
        </w:rPr>
        <w:t>traction</w:t>
      </w:r>
      <w:r w:rsidR="00F50FCC">
        <w:rPr>
          <w:szCs w:val="20"/>
        </w:rPr>
        <w:t>.</w:t>
      </w:r>
    </w:p>
    <w:p w14:paraId="085B11A3" w14:textId="77777777" w:rsidR="00033A9D" w:rsidRDefault="00033A9D" w:rsidP="00033A9D">
      <w:pPr>
        <w:rPr>
          <w:rStyle w:val="Emphasis"/>
          <w:i w:val="0"/>
        </w:rPr>
        <w:sectPr w:rsidR="00033A9D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56E8E635" w14:textId="2399973D" w:rsidR="003E4879" w:rsidRDefault="00A35792" w:rsidP="003E4879">
      <w:pPr>
        <w:pStyle w:val="Heading2"/>
      </w:pPr>
      <w:r>
        <w:t xml:space="preserve">To </w:t>
      </w:r>
      <w:r w:rsidR="0091142A">
        <w:t>adjust/</w:t>
      </w:r>
      <w:r>
        <w:t xml:space="preserve">review the </w:t>
      </w:r>
      <w:r w:rsidR="003E4879">
        <w:t>Onboarding</w:t>
      </w:r>
      <w:r>
        <w:t xml:space="preserve"> checklist:</w:t>
      </w:r>
    </w:p>
    <w:p w14:paraId="270FD253" w14:textId="073ECFA3" w:rsidR="00690AE1" w:rsidRPr="0030393A" w:rsidRDefault="00690AE1" w:rsidP="00690AE1">
      <w:pPr>
        <w:numPr>
          <w:ilvl w:val="0"/>
          <w:numId w:val="32"/>
        </w:numPr>
      </w:pPr>
      <w:r>
        <w:rPr>
          <w:szCs w:val="20"/>
        </w:rPr>
        <w:t xml:space="preserve">Complete Steps 1 through </w:t>
      </w:r>
      <w:r w:rsidR="0030393A">
        <w:rPr>
          <w:szCs w:val="20"/>
        </w:rPr>
        <w:t>5</w:t>
      </w:r>
      <w:r>
        <w:rPr>
          <w:szCs w:val="20"/>
        </w:rPr>
        <w:t xml:space="preserve"> as described in the “To edit an assignment” section.</w:t>
      </w:r>
    </w:p>
    <w:p w14:paraId="0FB05365" w14:textId="4DDD6032" w:rsidR="0030393A" w:rsidRPr="0091142A" w:rsidRDefault="0030393A" w:rsidP="00690AE1">
      <w:pPr>
        <w:numPr>
          <w:ilvl w:val="0"/>
          <w:numId w:val="32"/>
        </w:numPr>
      </w:pPr>
      <w:r>
        <w:rPr>
          <w:szCs w:val="20"/>
        </w:rPr>
        <w:t xml:space="preserve">Click </w:t>
      </w:r>
      <w:r>
        <w:rPr>
          <w:b/>
          <w:szCs w:val="20"/>
        </w:rPr>
        <w:t>View Onboarding</w:t>
      </w:r>
      <w:r>
        <w:rPr>
          <w:szCs w:val="20"/>
        </w:rPr>
        <w:t>. The Position Details screen appears</w:t>
      </w:r>
      <w:r w:rsidR="0091142A">
        <w:rPr>
          <w:szCs w:val="20"/>
        </w:rPr>
        <w:t xml:space="preserve"> with the Onboarding Checklist in &lt;edit&gt; mode.</w:t>
      </w:r>
    </w:p>
    <w:p w14:paraId="40C03D06" w14:textId="5FFE0C30" w:rsidR="0091142A" w:rsidRPr="0091142A" w:rsidRDefault="0091142A" w:rsidP="00690AE1">
      <w:pPr>
        <w:numPr>
          <w:ilvl w:val="0"/>
          <w:numId w:val="32"/>
        </w:numPr>
      </w:pPr>
      <w:r>
        <w:rPr>
          <w:szCs w:val="20"/>
        </w:rPr>
        <w:t>Adjust/Review as needed.</w:t>
      </w:r>
    </w:p>
    <w:p w14:paraId="2118A237" w14:textId="277C4E29" w:rsidR="0091142A" w:rsidRPr="0091142A" w:rsidRDefault="0091142A" w:rsidP="00690AE1">
      <w:pPr>
        <w:numPr>
          <w:ilvl w:val="0"/>
          <w:numId w:val="32"/>
        </w:numPr>
      </w:pPr>
      <w:r>
        <w:rPr>
          <w:szCs w:val="20"/>
        </w:rPr>
        <w:t xml:space="preserve">Click </w:t>
      </w:r>
      <w:r w:rsidRPr="0091142A">
        <w:rPr>
          <w:b/>
          <w:szCs w:val="20"/>
        </w:rPr>
        <w:t>Save</w:t>
      </w:r>
      <w:r>
        <w:rPr>
          <w:szCs w:val="20"/>
        </w:rPr>
        <w:t xml:space="preserve"> when your adjustments are complete, or,</w:t>
      </w:r>
    </w:p>
    <w:p w14:paraId="66CF40A7" w14:textId="48379666" w:rsidR="0091142A" w:rsidRPr="00AB60B9" w:rsidRDefault="0091142A" w:rsidP="00690AE1">
      <w:pPr>
        <w:numPr>
          <w:ilvl w:val="0"/>
          <w:numId w:val="32"/>
        </w:numPr>
      </w:pPr>
      <w:r>
        <w:rPr>
          <w:szCs w:val="20"/>
        </w:rPr>
        <w:t xml:space="preserve">Click </w:t>
      </w:r>
      <w:r w:rsidRPr="0091142A">
        <w:rPr>
          <w:b/>
          <w:szCs w:val="20"/>
        </w:rPr>
        <w:t>Cancel</w:t>
      </w:r>
      <w:r>
        <w:rPr>
          <w:szCs w:val="20"/>
        </w:rPr>
        <w:t xml:space="preserve"> when your review is complete.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AB60B9" w:rsidRPr="006628EF" w14:paraId="03C7C9FF" w14:textId="77777777" w:rsidTr="009E1C01">
        <w:tc>
          <w:tcPr>
            <w:tcW w:w="433" w:type="pct"/>
            <w:vAlign w:val="center"/>
          </w:tcPr>
          <w:p w14:paraId="3FCCCC77" w14:textId="77777777" w:rsidR="00AB60B9" w:rsidRPr="00A95937" w:rsidRDefault="00AB60B9" w:rsidP="009E1C01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229CF0B0" wp14:editId="79CA5A7D">
                  <wp:extent cx="338328" cy="347472"/>
                  <wp:effectExtent l="0" t="0" r="508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2ECCD9AF" w14:textId="4774F369" w:rsidR="00AB60B9" w:rsidRPr="00073AB5" w:rsidRDefault="005A4D71" w:rsidP="004C0246">
            <w:pPr>
              <w:pStyle w:val="Advisory"/>
              <w:spacing w:line="240" w:lineRule="auto"/>
            </w:pPr>
            <w:r>
              <w:t xml:space="preserve">Notice that </w:t>
            </w:r>
            <w:r w:rsidR="00FF717E">
              <w:t xml:space="preserve">if you choose View Onboarding from the Actions column, </w:t>
            </w:r>
            <w:r>
              <w:t xml:space="preserve">you only have </w:t>
            </w:r>
            <w:r w:rsidR="000A0F3D">
              <w:t xml:space="preserve">the </w:t>
            </w:r>
            <w:r>
              <w:t>ability to make changes to the Onboarding Checklist</w:t>
            </w:r>
            <w:r w:rsidR="000A0F3D">
              <w:t xml:space="preserve"> on the </w:t>
            </w:r>
            <w:r w:rsidR="004C0246">
              <w:t>Positions Details screen</w:t>
            </w:r>
            <w:r>
              <w:t>. If you need to make changes to other assignment details, click</w:t>
            </w:r>
            <w:r w:rsidR="00B06856">
              <w:t xml:space="preserve"> the </w:t>
            </w:r>
            <w:r w:rsidR="00B06856" w:rsidRPr="005516B9">
              <w:rPr>
                <w:b/>
              </w:rPr>
              <w:t>See all Actions</w:t>
            </w:r>
            <w:r w:rsidR="00B06856">
              <w:t xml:space="preserve"> arrow (</w:t>
            </w:r>
            <w:r w:rsidR="000A0F3D">
              <w:t> </w:t>
            </w:r>
            <w:r w:rsidR="00B06856">
              <w:rPr>
                <w:noProof/>
              </w:rPr>
              <w:drawing>
                <wp:inline distT="0" distB="0" distL="0" distR="0" wp14:anchorId="756C0873" wp14:editId="4C8D106C">
                  <wp:extent cx="790476" cy="114286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6" cy="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F3D">
              <w:t> </w:t>
            </w:r>
            <w:r w:rsidR="00B06856">
              <w:t>) located to the right of the assignment status bar and select Edit Assignment, then follow the instructions in the previous sections</w:t>
            </w:r>
            <w:r w:rsidR="0090255D">
              <w:t xml:space="preserve"> to edit or amend the assignment</w:t>
            </w:r>
            <w:r w:rsidR="00B06856">
              <w:t>.</w:t>
            </w:r>
          </w:p>
        </w:tc>
      </w:tr>
    </w:tbl>
    <w:p w14:paraId="76B5C405" w14:textId="56B7B778" w:rsidR="0091142A" w:rsidRPr="00690AE1" w:rsidRDefault="0084372D" w:rsidP="00690AE1">
      <w:pPr>
        <w:numPr>
          <w:ilvl w:val="0"/>
          <w:numId w:val="32"/>
        </w:numPr>
      </w:pPr>
      <w:r w:rsidRPr="0084372D">
        <w:rPr>
          <w:szCs w:val="20"/>
        </w:rPr>
        <w:t xml:space="preserve">Click </w:t>
      </w:r>
      <w:r w:rsidRPr="0084372D">
        <w:rPr>
          <w:b/>
          <w:szCs w:val="20"/>
        </w:rPr>
        <w:t>« Back</w:t>
      </w:r>
      <w:r w:rsidRPr="0084372D">
        <w:rPr>
          <w:szCs w:val="20"/>
        </w:rPr>
        <w:t xml:space="preserve"> to exit the Positions Detail screen</w:t>
      </w:r>
      <w:r>
        <w:rPr>
          <w:szCs w:val="20"/>
        </w:rPr>
        <w:t>.</w:t>
      </w:r>
    </w:p>
    <w:p w14:paraId="45CADC05" w14:textId="3EA0BEEF" w:rsidR="003E4879" w:rsidRDefault="003E4879" w:rsidP="003E4879">
      <w:pPr>
        <w:pStyle w:val="Heading2"/>
      </w:pPr>
      <w:r>
        <w:t>To close an assignment</w:t>
      </w:r>
      <w:r w:rsidR="00A35792">
        <w:t xml:space="preserve"> (including evaluation)</w:t>
      </w:r>
      <w:r>
        <w:t>:</w:t>
      </w:r>
    </w:p>
    <w:p w14:paraId="01BFEFF7" w14:textId="618D9F4B" w:rsidR="00690AE1" w:rsidRPr="002E277F" w:rsidRDefault="00690AE1" w:rsidP="00690AE1">
      <w:pPr>
        <w:numPr>
          <w:ilvl w:val="0"/>
          <w:numId w:val="34"/>
        </w:numPr>
      </w:pPr>
      <w:r>
        <w:rPr>
          <w:szCs w:val="20"/>
        </w:rPr>
        <w:t xml:space="preserve">Complete Steps 1 through </w:t>
      </w:r>
      <w:r w:rsidR="0090255D">
        <w:rPr>
          <w:szCs w:val="20"/>
        </w:rPr>
        <w:t>5</w:t>
      </w:r>
      <w:r>
        <w:rPr>
          <w:szCs w:val="20"/>
        </w:rPr>
        <w:t xml:space="preserve"> as described in the “To edit an assignment” section.</w:t>
      </w:r>
    </w:p>
    <w:p w14:paraId="42C5B779" w14:textId="43B104B3" w:rsidR="002E277F" w:rsidRDefault="002E277F" w:rsidP="002E277F">
      <w:pPr>
        <w:numPr>
          <w:ilvl w:val="0"/>
          <w:numId w:val="34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</w:t>
      </w:r>
      <w:r>
        <w:rPr>
          <w:b/>
          <w:szCs w:val="20"/>
        </w:rPr>
        <w:t>Close</w:t>
      </w:r>
      <w:r w:rsidRPr="007822D6">
        <w:rPr>
          <w:b/>
          <w:szCs w:val="20"/>
        </w:rPr>
        <w:t xml:space="preserve"> Assignment</w:t>
      </w:r>
      <w:r>
        <w:rPr>
          <w:szCs w:val="20"/>
        </w:rPr>
        <w:t>. A Close Assignment dialog window opens.</w:t>
      </w:r>
    </w:p>
    <w:p w14:paraId="1124EA1F" w14:textId="3038983E" w:rsidR="002E277F" w:rsidRDefault="002E277F" w:rsidP="00690AE1">
      <w:pPr>
        <w:numPr>
          <w:ilvl w:val="0"/>
          <w:numId w:val="34"/>
        </w:numPr>
      </w:pPr>
      <w:r>
        <w:t>Select your Yes/No response for, “Was this assignment completed successfully?”</w:t>
      </w:r>
      <w:r w:rsidR="00CD7E27">
        <w:t xml:space="preserve"> </w:t>
      </w:r>
      <w:r w:rsidR="00CD7E27" w:rsidRPr="007C02EB">
        <w:rPr>
          <w:b/>
        </w:rPr>
        <w:t>NOTE</w:t>
      </w:r>
      <w:r w:rsidR="00CD7E27">
        <w:t xml:space="preserve">: </w:t>
      </w:r>
      <w:r w:rsidR="00CD7E27" w:rsidRPr="00CD7E27">
        <w:t xml:space="preserve">YES </w:t>
      </w:r>
      <w:r w:rsidR="00CD7E27">
        <w:t>indicates</w:t>
      </w:r>
      <w:r w:rsidR="00CD7E27" w:rsidRPr="00CD7E27">
        <w:t xml:space="preserve"> that the worker did what was expected while on contract </w:t>
      </w:r>
      <w:r w:rsidR="00CD7E27">
        <w:t>while</w:t>
      </w:r>
      <w:r w:rsidR="00CD7E27" w:rsidRPr="00CD7E27">
        <w:t xml:space="preserve"> NO </w:t>
      </w:r>
      <w:r w:rsidR="00CD7E27">
        <w:t>indicates</w:t>
      </w:r>
      <w:r w:rsidR="00CD7E27" w:rsidRPr="00CD7E27">
        <w:t xml:space="preserve"> that the worker did not</w:t>
      </w:r>
      <w:r w:rsidR="00CD7E27">
        <w:t xml:space="preserve"> meet </w:t>
      </w:r>
      <w:r w:rsidR="00CD7E27" w:rsidRPr="00CD7E27">
        <w:t>expect</w:t>
      </w:r>
      <w:r w:rsidR="00CD7E27">
        <w:t>ations</w:t>
      </w:r>
      <w:r w:rsidR="00CD7E27" w:rsidRPr="00CD7E27">
        <w:t>.</w:t>
      </w:r>
      <w:r w:rsidR="004B13E3">
        <w:t xml:space="preserve"> If the reason for closing the assignment</w:t>
      </w:r>
      <w:r w:rsidR="002B2FA7">
        <w:t xml:space="preserve"> is related to the assignment (e.g., client no longer </w:t>
      </w:r>
      <w:r w:rsidR="004B13E3">
        <w:t>wants</w:t>
      </w:r>
      <w:r w:rsidR="002B2FA7">
        <w:t xml:space="preserve"> to keep the position open</w:t>
      </w:r>
      <w:r w:rsidR="00CD7E27">
        <w:t>)</w:t>
      </w:r>
      <w:r w:rsidR="002B2FA7">
        <w:t>, then be mindful of how you respond to this question</w:t>
      </w:r>
      <w:r w:rsidR="004B13E3">
        <w:t>.</w:t>
      </w:r>
    </w:p>
    <w:p w14:paraId="64821712" w14:textId="77777777" w:rsidR="002E277F" w:rsidRDefault="002E277F" w:rsidP="00690AE1">
      <w:pPr>
        <w:numPr>
          <w:ilvl w:val="0"/>
          <w:numId w:val="34"/>
        </w:numPr>
      </w:pPr>
      <w:r>
        <w:t xml:space="preserve">Click </w:t>
      </w:r>
      <w:r w:rsidRPr="002E277F">
        <w:rPr>
          <w:b/>
        </w:rPr>
        <w:t>Next</w:t>
      </w:r>
      <w:r>
        <w:t>.</w:t>
      </w:r>
    </w:p>
    <w:p w14:paraId="5CA135B4" w14:textId="319800DA" w:rsidR="002E277F" w:rsidRDefault="002E277F" w:rsidP="002510AE">
      <w:pPr>
        <w:ind w:left="720"/>
      </w:pPr>
      <w:r>
        <w:t xml:space="preserve">If </w:t>
      </w:r>
      <w:r w:rsidR="00166512">
        <w:t xml:space="preserve">your response is </w:t>
      </w:r>
      <w:r>
        <w:t>“</w:t>
      </w:r>
      <w:r w:rsidR="00166512">
        <w:t>Y</w:t>
      </w:r>
      <w:r>
        <w:t>es”</w:t>
      </w:r>
      <w:r w:rsidR="00166512">
        <w:t>:</w:t>
      </w:r>
    </w:p>
    <w:p w14:paraId="06407253" w14:textId="77777777" w:rsidR="002510AE" w:rsidRDefault="002510AE" w:rsidP="002510AE">
      <w:pPr>
        <w:numPr>
          <w:ilvl w:val="0"/>
          <w:numId w:val="35"/>
        </w:numPr>
        <w:spacing w:after="0"/>
        <w:ind w:left="1080"/>
      </w:pPr>
      <w:r>
        <w:t>Enter the Actual End Date (required).</w:t>
      </w:r>
    </w:p>
    <w:p w14:paraId="38BDB0DA" w14:textId="479043BA" w:rsidR="002510AE" w:rsidRDefault="002510AE" w:rsidP="002510AE">
      <w:pPr>
        <w:numPr>
          <w:ilvl w:val="0"/>
          <w:numId w:val="35"/>
        </w:numPr>
        <w:spacing w:after="0"/>
        <w:ind w:left="1080"/>
      </w:pPr>
      <w:r>
        <w:t>Select reason</w:t>
      </w:r>
      <w:r w:rsidR="00166512">
        <w:t>(s)</w:t>
      </w:r>
      <w:r>
        <w:t xml:space="preserve"> from the available Reason list (required).</w:t>
      </w:r>
    </w:p>
    <w:p w14:paraId="18B0114F" w14:textId="77777777" w:rsidR="004A492C" w:rsidRPr="004A492C" w:rsidRDefault="002510AE" w:rsidP="004A492C">
      <w:pPr>
        <w:numPr>
          <w:ilvl w:val="0"/>
          <w:numId w:val="35"/>
        </w:numPr>
        <w:spacing w:after="0"/>
        <w:ind w:left="1080"/>
      </w:pPr>
      <w:r>
        <w:t xml:space="preserve">Click </w:t>
      </w:r>
      <w:r w:rsidRPr="00166512">
        <w:rPr>
          <w:b/>
        </w:rPr>
        <w:t>Next</w:t>
      </w:r>
      <w:r>
        <w:t xml:space="preserve"> and complete the Evaluation. </w:t>
      </w:r>
      <w:r w:rsidRPr="00166512">
        <w:rPr>
          <w:szCs w:val="20"/>
        </w:rPr>
        <w:t xml:space="preserve">A </w:t>
      </w:r>
      <w:r w:rsidRPr="00166512">
        <w:rPr>
          <w:color w:val="FF0000"/>
          <w:szCs w:val="20"/>
        </w:rPr>
        <w:t xml:space="preserve">red asterisk </w:t>
      </w:r>
      <w:r w:rsidRPr="00166512">
        <w:rPr>
          <w:szCs w:val="20"/>
        </w:rPr>
        <w:t>(</w:t>
      </w:r>
      <w:r w:rsidRPr="00166512">
        <w:rPr>
          <w:color w:val="FF0000"/>
          <w:szCs w:val="20"/>
        </w:rPr>
        <w:t>*</w:t>
      </w:r>
      <w:r w:rsidRPr="00166512">
        <w:rPr>
          <w:szCs w:val="20"/>
        </w:rPr>
        <w:t>) indicates a required field.</w:t>
      </w:r>
    </w:p>
    <w:p w14:paraId="35F9A2FB" w14:textId="2E3D0C6E" w:rsidR="002510AE" w:rsidRPr="004A492C" w:rsidRDefault="002510AE" w:rsidP="004A492C">
      <w:pPr>
        <w:numPr>
          <w:ilvl w:val="0"/>
          <w:numId w:val="35"/>
        </w:numPr>
        <w:spacing w:after="0"/>
        <w:ind w:left="1080"/>
      </w:pPr>
      <w:r w:rsidRPr="00166512">
        <w:rPr>
          <w:szCs w:val="20"/>
        </w:rPr>
        <w:t xml:space="preserve">Click </w:t>
      </w:r>
      <w:r w:rsidRPr="00166512">
        <w:rPr>
          <w:b/>
          <w:szCs w:val="20"/>
        </w:rPr>
        <w:t>Finish</w:t>
      </w:r>
      <w:r w:rsidRPr="00166512">
        <w:rPr>
          <w:szCs w:val="20"/>
        </w:rPr>
        <w:t xml:space="preserve"> when your evaluation is complete. Screen refreshes and returns you to </w:t>
      </w:r>
      <w:r w:rsidR="004A492C">
        <w:rPr>
          <w:szCs w:val="20"/>
        </w:rPr>
        <w:t>the Positions Details screen</w:t>
      </w:r>
      <w:r w:rsidRPr="00166512">
        <w:rPr>
          <w:szCs w:val="20"/>
        </w:rPr>
        <w:t xml:space="preserve">. Notice that the </w:t>
      </w:r>
      <w:r w:rsidR="004A492C">
        <w:rPr>
          <w:szCs w:val="20"/>
        </w:rPr>
        <w:t>assignment now has a status of Closed.</w:t>
      </w:r>
    </w:p>
    <w:p w14:paraId="7712952D" w14:textId="63FA7129" w:rsidR="004A492C" w:rsidRDefault="0084372D" w:rsidP="004A492C">
      <w:pPr>
        <w:numPr>
          <w:ilvl w:val="0"/>
          <w:numId w:val="35"/>
        </w:numPr>
        <w:ind w:left="1080"/>
      </w:pPr>
      <w:r w:rsidRPr="0084372D">
        <w:t xml:space="preserve">Click </w:t>
      </w:r>
      <w:r w:rsidRPr="0084372D">
        <w:rPr>
          <w:b/>
        </w:rPr>
        <w:t>« Back</w:t>
      </w:r>
      <w:r w:rsidRPr="0084372D">
        <w:t xml:space="preserve"> to exit the Positions Detail screen</w:t>
      </w:r>
      <w:r>
        <w:t>.</w:t>
      </w:r>
    </w:p>
    <w:p w14:paraId="17DA4275" w14:textId="2693A8C6" w:rsidR="00D5225D" w:rsidRDefault="002E277F" w:rsidP="00166512">
      <w:pPr>
        <w:ind w:left="720"/>
      </w:pPr>
      <w:r>
        <w:t>If</w:t>
      </w:r>
      <w:r w:rsidR="00166512">
        <w:t xml:space="preserve"> your response is</w:t>
      </w:r>
      <w:r>
        <w:t xml:space="preserve"> “No”</w:t>
      </w:r>
      <w:r w:rsidR="005A1D86">
        <w:t>:</w:t>
      </w:r>
      <w:r>
        <w:t xml:space="preserve"> </w:t>
      </w:r>
    </w:p>
    <w:p w14:paraId="58677134" w14:textId="4FDC5131" w:rsidR="00D5225D" w:rsidRDefault="00D5225D" w:rsidP="00D809AB">
      <w:pPr>
        <w:numPr>
          <w:ilvl w:val="0"/>
          <w:numId w:val="35"/>
        </w:numPr>
        <w:spacing w:after="0"/>
        <w:ind w:left="1080"/>
      </w:pPr>
      <w:r>
        <w:t>E</w:t>
      </w:r>
      <w:r w:rsidR="002E277F">
        <w:t>nter the Actual End Date</w:t>
      </w:r>
      <w:r>
        <w:t xml:space="preserve"> (required).</w:t>
      </w:r>
    </w:p>
    <w:p w14:paraId="7B4B8A40" w14:textId="62CB62E7" w:rsidR="00D5225D" w:rsidRDefault="00D5225D" w:rsidP="00D809AB">
      <w:pPr>
        <w:numPr>
          <w:ilvl w:val="0"/>
          <w:numId w:val="35"/>
        </w:numPr>
        <w:spacing w:after="0"/>
        <w:ind w:left="1080"/>
      </w:pPr>
      <w:r>
        <w:t>Indicate if you want to use the same requisition to fill this position with a different resource</w:t>
      </w:r>
      <w:r w:rsidR="00D809AB">
        <w:t>,</w:t>
      </w:r>
      <w:r>
        <w:t xml:space="preserve"> (Yes/No).</w:t>
      </w:r>
    </w:p>
    <w:p w14:paraId="3FE7AFF5" w14:textId="1ECF7E24" w:rsidR="002E277F" w:rsidRDefault="00D5225D" w:rsidP="00D809AB">
      <w:pPr>
        <w:numPr>
          <w:ilvl w:val="0"/>
          <w:numId w:val="35"/>
        </w:numPr>
        <w:spacing w:after="0"/>
        <w:ind w:left="1080"/>
      </w:pPr>
      <w:r>
        <w:t xml:space="preserve">Select </w:t>
      </w:r>
      <w:r w:rsidR="00380D5F">
        <w:t>reason</w:t>
      </w:r>
      <w:r w:rsidR="00166512">
        <w:t>(s)</w:t>
      </w:r>
      <w:r w:rsidR="00380D5F">
        <w:t xml:space="preserve"> </w:t>
      </w:r>
      <w:r>
        <w:t>from the available Reason list</w:t>
      </w:r>
      <w:r w:rsidR="002E277F">
        <w:t xml:space="preserve"> </w:t>
      </w:r>
      <w:r>
        <w:t>(required).</w:t>
      </w:r>
    </w:p>
    <w:p w14:paraId="104E45F4" w14:textId="0529096A" w:rsidR="00D5225D" w:rsidRPr="00D809AB" w:rsidRDefault="00D5225D" w:rsidP="00D809AB">
      <w:pPr>
        <w:numPr>
          <w:ilvl w:val="0"/>
          <w:numId w:val="35"/>
        </w:numPr>
        <w:spacing w:after="0"/>
        <w:ind w:left="1080"/>
      </w:pPr>
      <w:r>
        <w:t xml:space="preserve">Click </w:t>
      </w:r>
      <w:r w:rsidRPr="00D809AB">
        <w:rPr>
          <w:b/>
        </w:rPr>
        <w:t>Next</w:t>
      </w:r>
      <w:r>
        <w:t xml:space="preserve"> and complete the Evaluation. </w:t>
      </w:r>
      <w:r w:rsidRPr="00F47E20">
        <w:rPr>
          <w:szCs w:val="20"/>
        </w:rPr>
        <w:t xml:space="preserve">A </w:t>
      </w:r>
      <w:r w:rsidRPr="00F47E20">
        <w:rPr>
          <w:color w:val="FF0000"/>
          <w:szCs w:val="20"/>
        </w:rPr>
        <w:t xml:space="preserve">red asterisk </w:t>
      </w:r>
      <w:r w:rsidRPr="00F47E20">
        <w:rPr>
          <w:szCs w:val="20"/>
        </w:rPr>
        <w:t>(</w:t>
      </w:r>
      <w:r w:rsidRPr="00F47E20">
        <w:rPr>
          <w:color w:val="FF0000"/>
          <w:szCs w:val="20"/>
        </w:rPr>
        <w:t>*</w:t>
      </w:r>
      <w:r w:rsidRPr="00F47E20">
        <w:rPr>
          <w:szCs w:val="20"/>
        </w:rPr>
        <w:t xml:space="preserve">) indicates </w:t>
      </w:r>
      <w:r>
        <w:rPr>
          <w:szCs w:val="20"/>
        </w:rPr>
        <w:t xml:space="preserve">a </w:t>
      </w:r>
      <w:r w:rsidRPr="00F47E20">
        <w:rPr>
          <w:szCs w:val="20"/>
        </w:rPr>
        <w:t>required field.</w:t>
      </w:r>
    </w:p>
    <w:p w14:paraId="78D2808E" w14:textId="634041FB" w:rsidR="00D809AB" w:rsidRPr="00643E43" w:rsidRDefault="00D809AB" w:rsidP="00D809AB">
      <w:pPr>
        <w:numPr>
          <w:ilvl w:val="0"/>
          <w:numId w:val="35"/>
        </w:numPr>
        <w:spacing w:after="0"/>
        <w:ind w:left="1080"/>
      </w:pPr>
      <w:r>
        <w:rPr>
          <w:szCs w:val="20"/>
        </w:rPr>
        <w:t xml:space="preserve">Click </w:t>
      </w:r>
      <w:r w:rsidRPr="00D809AB">
        <w:rPr>
          <w:b/>
          <w:szCs w:val="20"/>
        </w:rPr>
        <w:t>Finish</w:t>
      </w:r>
      <w:r>
        <w:rPr>
          <w:szCs w:val="20"/>
        </w:rPr>
        <w:t xml:space="preserve"> when your evaluation is complete. Screen refreshes and returns you to your Manage/Assignments list.</w:t>
      </w:r>
      <w:r w:rsidR="002510AE">
        <w:rPr>
          <w:szCs w:val="20"/>
        </w:rPr>
        <w:t xml:space="preserve"> Notice that the Resource’s assignment record is no longer visible on your Assignments list.</w:t>
      </w:r>
    </w:p>
    <w:p w14:paraId="06CAB4E2" w14:textId="77777777" w:rsidR="00643E43" w:rsidRDefault="00643E43" w:rsidP="00643E43">
      <w:pPr>
        <w:spacing w:after="0"/>
        <w:ind w:left="720"/>
        <w:sectPr w:rsidR="00643E43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2F4318DD" w14:textId="5BB05F73" w:rsidR="00643E43" w:rsidRDefault="00643E43" w:rsidP="00643E43">
      <w:pPr>
        <w:pStyle w:val="Heading2"/>
      </w:pPr>
      <w:r>
        <w:t>Off</w:t>
      </w:r>
      <w:r w:rsidR="00A10468">
        <w:t xml:space="preserve"> B</w:t>
      </w:r>
      <w:r>
        <w:t>oarding (optional):</w:t>
      </w:r>
    </w:p>
    <w:p w14:paraId="7210531C" w14:textId="07D55F02" w:rsidR="00643E43" w:rsidRDefault="00CE79E3" w:rsidP="00730B2E">
      <w:pPr>
        <w:spacing w:after="0"/>
        <w:ind w:left="720"/>
      </w:pPr>
      <w:r>
        <w:t>Off</w:t>
      </w:r>
      <w:r w:rsidR="00A10468">
        <w:t xml:space="preserve"> B</w:t>
      </w:r>
      <w:r>
        <w:t>oarding tasks are optional in IQNavigator. If a cl</w:t>
      </w:r>
      <w:r w:rsidR="00CA02C8">
        <w:t>ient decides to incorporate off</w:t>
      </w:r>
      <w:r w:rsidR="00A10468">
        <w:t xml:space="preserve"> </w:t>
      </w:r>
      <w:r>
        <w:t>boarding tasks into their program, current options include:</w:t>
      </w:r>
    </w:p>
    <w:p w14:paraId="641EE7A6" w14:textId="2CB8ED8A" w:rsidR="00467853" w:rsidRDefault="00E231A9" w:rsidP="00730B2E">
      <w:pPr>
        <w:numPr>
          <w:ilvl w:val="0"/>
          <w:numId w:val="36"/>
        </w:numPr>
        <w:spacing w:before="120" w:after="0"/>
        <w:ind w:left="1080"/>
      </w:pPr>
      <w:r w:rsidRPr="002177AB">
        <w:rPr>
          <w:b/>
        </w:rPr>
        <w:t xml:space="preserve">As a </w:t>
      </w:r>
      <w:r w:rsidR="00CE79E3" w:rsidRPr="002177AB">
        <w:rPr>
          <w:b/>
        </w:rPr>
        <w:t xml:space="preserve">Position Details </w:t>
      </w:r>
      <w:r w:rsidR="002177AB">
        <w:rPr>
          <w:b/>
        </w:rPr>
        <w:t>c</w:t>
      </w:r>
      <w:r w:rsidR="00CE79E3" w:rsidRPr="002177AB">
        <w:rPr>
          <w:b/>
        </w:rPr>
        <w:t>hecklist</w:t>
      </w:r>
      <w:r w:rsidR="00CE79E3">
        <w:t xml:space="preserve"> – This would be similar to the Onboarding checklist. </w:t>
      </w:r>
      <w:r>
        <w:t>With</w:t>
      </w:r>
      <w:r w:rsidR="00CA02C8">
        <w:t xml:space="preserve"> this option, a</w:t>
      </w:r>
      <w:r w:rsidR="00CE79E3">
        <w:t xml:space="preserve"> separate section of the Position Details record is dedicated</w:t>
      </w:r>
      <w:r w:rsidR="00CA02C8">
        <w:t xml:space="preserve"> to off</w:t>
      </w:r>
      <w:r w:rsidR="00A10468">
        <w:t xml:space="preserve"> </w:t>
      </w:r>
      <w:r w:rsidR="00CA02C8">
        <w:t>boarding related tasks</w:t>
      </w:r>
      <w:r w:rsidR="00467853">
        <w:t xml:space="preserve"> and the Actions drop-down selection list includes an option for View Off</w:t>
      </w:r>
      <w:r w:rsidR="00A10468">
        <w:t xml:space="preserve"> B</w:t>
      </w:r>
      <w:r w:rsidR="00467853">
        <w:t>oarding to provide direct access to this section.</w:t>
      </w:r>
      <w:r>
        <w:t xml:space="preserve"> Items on the checklist are client-defined.</w:t>
      </w:r>
    </w:p>
    <w:p w14:paraId="4FF02B55" w14:textId="0E13705C" w:rsidR="00A173A6" w:rsidRDefault="00E231A9" w:rsidP="00730B2E">
      <w:pPr>
        <w:numPr>
          <w:ilvl w:val="0"/>
          <w:numId w:val="36"/>
        </w:numPr>
        <w:spacing w:before="120"/>
        <w:ind w:left="1080"/>
      </w:pPr>
      <w:r w:rsidRPr="002177AB">
        <w:rPr>
          <w:b/>
        </w:rPr>
        <w:t xml:space="preserve">As part of the Close Assignment </w:t>
      </w:r>
      <w:r w:rsidR="00A173A6" w:rsidRPr="002177AB">
        <w:rPr>
          <w:b/>
        </w:rPr>
        <w:t>process</w:t>
      </w:r>
      <w:r>
        <w:t xml:space="preserve"> </w:t>
      </w:r>
      <w:r w:rsidR="00A173A6">
        <w:t>–</w:t>
      </w:r>
      <w:r>
        <w:t xml:space="preserve"> </w:t>
      </w:r>
      <w:r w:rsidR="00A173A6">
        <w:t>The client-defined off</w:t>
      </w:r>
      <w:r w:rsidR="00A10468">
        <w:t xml:space="preserve"> </w:t>
      </w:r>
      <w:r w:rsidR="00A173A6">
        <w:t>boarding checklist can be incorporated into the Close Assignment dialog window.</w:t>
      </w:r>
    </w:p>
    <w:p w14:paraId="7060F690" w14:textId="7FDC3CC6" w:rsidR="00A173A6" w:rsidRDefault="00A173A6" w:rsidP="00730B2E">
      <w:pPr>
        <w:numPr>
          <w:ilvl w:val="0"/>
          <w:numId w:val="36"/>
        </w:numPr>
        <w:spacing w:after="0"/>
        <w:ind w:left="1080"/>
      </w:pPr>
      <w:r w:rsidRPr="002177AB">
        <w:rPr>
          <w:b/>
        </w:rPr>
        <w:t>As part of the end of assignment evaluation</w:t>
      </w:r>
      <w:r>
        <w:t xml:space="preserve"> – Similar to the Close Assignment option, this would incorporate the client-defined off</w:t>
      </w:r>
      <w:r w:rsidR="00A10468">
        <w:t xml:space="preserve"> </w:t>
      </w:r>
      <w:r>
        <w:t>boarding checklist into the end of assignment evaluation process.</w:t>
      </w:r>
    </w:p>
    <w:p w14:paraId="4229C036" w14:textId="41B24DD7" w:rsidR="00CE79E3" w:rsidRPr="00690AE1" w:rsidRDefault="00A173A6" w:rsidP="00A173A6">
      <w:pPr>
        <w:spacing w:after="0"/>
      </w:pPr>
      <w:r>
        <w:t xml:space="preserve"> </w:t>
      </w:r>
      <w:r w:rsidR="00CA02C8">
        <w:t xml:space="preserve"> 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A10468" w:rsidRPr="006628EF" w14:paraId="1D3C5C54" w14:textId="77777777" w:rsidTr="00B14809">
        <w:tc>
          <w:tcPr>
            <w:tcW w:w="433" w:type="pct"/>
            <w:vAlign w:val="center"/>
          </w:tcPr>
          <w:p w14:paraId="605FA875" w14:textId="77777777" w:rsidR="00A10468" w:rsidRPr="00A95937" w:rsidRDefault="00A10468" w:rsidP="00B14809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2FAEC2BB" wp14:editId="5E714CF5">
                  <wp:extent cx="338328" cy="347472"/>
                  <wp:effectExtent l="0" t="0" r="508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50CE811F" w14:textId="1A45CD67" w:rsidR="00A10468" w:rsidRPr="002177AB" w:rsidRDefault="00E01464" w:rsidP="00022346">
            <w:pPr>
              <w:pStyle w:val="Advisory"/>
            </w:pPr>
            <w:r>
              <w:t>Off Boarding as a</w:t>
            </w:r>
            <w:r w:rsidR="00D1440C">
              <w:t xml:space="preserve"> status and Off Boarding as a task are two completely different functions. Care should be taken to avoid confusing the two. Off Boarding as a status indicates that an assignment has passed its End Date and needs to be closed. On the Positions list screen, it is a quick way for managers to identify which records need to be actioned</w:t>
            </w:r>
            <w:r w:rsidR="001C104F">
              <w:t>—just check the Current Phase column for the status</w:t>
            </w:r>
            <w:r w:rsidR="00D1440C">
              <w:t xml:space="preserve">. </w:t>
            </w:r>
            <w:r w:rsidR="001C104F">
              <w:t xml:space="preserve">As a task, </w:t>
            </w:r>
            <w:r w:rsidR="002177AB">
              <w:t>O</w:t>
            </w:r>
            <w:r w:rsidR="001C104F">
              <w:t xml:space="preserve">ff </w:t>
            </w:r>
            <w:r w:rsidR="002177AB">
              <w:t>B</w:t>
            </w:r>
            <w:r w:rsidR="001C104F">
              <w:t xml:space="preserve">oarding </w:t>
            </w:r>
            <w:r w:rsidR="002177AB">
              <w:t>is an option that, as noted above, can be incorporated into a customer’s program in a variety of ways.</w:t>
            </w:r>
            <w:r w:rsidR="00A10468">
              <w:t xml:space="preserve"> </w:t>
            </w:r>
            <w:r w:rsidR="00D4632E">
              <w:t xml:space="preserve">Two of the primary off boarding tasks are deactivating a contractor’s </w:t>
            </w:r>
            <w:r w:rsidR="00022346">
              <w:t xml:space="preserve">credentials to </w:t>
            </w:r>
            <w:r w:rsidR="00D4632E">
              <w:t>access the customer’s work location(s) and online systems.</w:t>
            </w:r>
          </w:p>
        </w:tc>
      </w:tr>
    </w:tbl>
    <w:p w14:paraId="6A2C819B" w14:textId="77777777" w:rsidR="00690AE1" w:rsidRDefault="00690AE1" w:rsidP="00690AE1"/>
    <w:sectPr w:rsidR="00690AE1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16C4" w14:textId="77777777" w:rsidR="00084513" w:rsidRPr="00242F36" w:rsidRDefault="00084513" w:rsidP="00242F36">
      <w:r>
        <w:separator/>
      </w:r>
    </w:p>
  </w:endnote>
  <w:endnote w:type="continuationSeparator" w:id="0">
    <w:p w14:paraId="690BD965" w14:textId="77777777" w:rsidR="00084513" w:rsidRPr="00242F36" w:rsidRDefault="00084513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27F1759D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817F86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817F86">
      <w:rPr>
        <w:rFonts w:cs="Arial"/>
        <w:color w:val="8D8D8D"/>
        <w:sz w:val="18"/>
        <w:szCs w:val="18"/>
      </w:rPr>
      <w:t>8 -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084513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A42C" w14:textId="77777777" w:rsidR="00084513" w:rsidRPr="00242F36" w:rsidRDefault="00084513" w:rsidP="00242F36">
      <w:r>
        <w:separator/>
      </w:r>
    </w:p>
  </w:footnote>
  <w:footnote w:type="continuationSeparator" w:id="0">
    <w:p w14:paraId="3CA751E1" w14:textId="77777777" w:rsidR="00084513" w:rsidRPr="00242F36" w:rsidRDefault="00084513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36764A66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2" w15:restartNumberingAfterBreak="0">
    <w:nsid w:val="17733E52"/>
    <w:multiLevelType w:val="hybridMultilevel"/>
    <w:tmpl w:val="0598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182B"/>
    <w:multiLevelType w:val="multilevel"/>
    <w:tmpl w:val="C25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D8B"/>
    <w:multiLevelType w:val="hybridMultilevel"/>
    <w:tmpl w:val="99D29A62"/>
    <w:lvl w:ilvl="0" w:tplc="EF0E9800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30F65"/>
    <w:multiLevelType w:val="hybridMultilevel"/>
    <w:tmpl w:val="B0FE74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B65426D"/>
    <w:multiLevelType w:val="hybridMultilevel"/>
    <w:tmpl w:val="0598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9E0"/>
    <w:multiLevelType w:val="hybridMultilevel"/>
    <w:tmpl w:val="279E43F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2DA"/>
    <w:multiLevelType w:val="hybridMultilevel"/>
    <w:tmpl w:val="BFB067D8"/>
    <w:lvl w:ilvl="0" w:tplc="EF0E9800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CD01837"/>
    <w:multiLevelType w:val="hybridMultilevel"/>
    <w:tmpl w:val="E9F020C6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09A6"/>
    <w:multiLevelType w:val="multilevel"/>
    <w:tmpl w:val="142A0A94"/>
    <w:numStyleLink w:val="ListBullet1"/>
  </w:abstractNum>
  <w:abstractNum w:abstractNumId="20" w15:restartNumberingAfterBreak="0">
    <w:nsid w:val="5ABD4D9F"/>
    <w:multiLevelType w:val="hybridMultilevel"/>
    <w:tmpl w:val="374CDA5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D7DA4"/>
    <w:multiLevelType w:val="hybridMultilevel"/>
    <w:tmpl w:val="0598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6201"/>
    <w:multiLevelType w:val="hybridMultilevel"/>
    <w:tmpl w:val="23CE059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C319F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E47A0"/>
    <w:multiLevelType w:val="hybridMultilevel"/>
    <w:tmpl w:val="156AF5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98B2E67"/>
    <w:multiLevelType w:val="hybridMultilevel"/>
    <w:tmpl w:val="2F20283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7E2F2C97"/>
    <w:multiLevelType w:val="hybridMultilevel"/>
    <w:tmpl w:val="9BDE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28"/>
  </w:num>
  <w:num w:numId="5">
    <w:abstractNumId w:val="19"/>
  </w:num>
  <w:num w:numId="6">
    <w:abstractNumId w:val="19"/>
  </w:num>
  <w:num w:numId="7">
    <w:abstractNumId w:val="3"/>
  </w:num>
  <w:num w:numId="8">
    <w:abstractNumId w:val="21"/>
  </w:num>
  <w:num w:numId="9">
    <w:abstractNumId w:val="7"/>
  </w:num>
  <w:num w:numId="10">
    <w:abstractNumId w:val="10"/>
  </w:num>
  <w:num w:numId="11">
    <w:abstractNumId w:val="6"/>
  </w:num>
  <w:num w:numId="12">
    <w:abstractNumId w:val="25"/>
  </w:num>
  <w:num w:numId="13">
    <w:abstractNumId w:val="12"/>
  </w:num>
  <w:num w:numId="14">
    <w:abstractNumId w:val="33"/>
  </w:num>
  <w:num w:numId="15">
    <w:abstractNumId w:val="8"/>
  </w:num>
  <w:num w:numId="16">
    <w:abstractNumId w:val="4"/>
  </w:num>
  <w:num w:numId="17">
    <w:abstractNumId w:val="22"/>
  </w:num>
  <w:num w:numId="18">
    <w:abstractNumId w:val="26"/>
  </w:num>
  <w:num w:numId="19">
    <w:abstractNumId w:val="29"/>
  </w:num>
  <w:num w:numId="20">
    <w:abstractNumId w:val="0"/>
  </w:num>
  <w:num w:numId="21">
    <w:abstractNumId w:val="16"/>
  </w:num>
  <w:num w:numId="22">
    <w:abstractNumId w:val="14"/>
  </w:num>
  <w:num w:numId="23">
    <w:abstractNumId w:val="32"/>
  </w:num>
  <w:num w:numId="24">
    <w:abstractNumId w:val="20"/>
  </w:num>
  <w:num w:numId="25">
    <w:abstractNumId w:val="15"/>
  </w:num>
  <w:num w:numId="26">
    <w:abstractNumId w:val="9"/>
  </w:num>
  <w:num w:numId="27">
    <w:abstractNumId w:val="17"/>
  </w:num>
  <w:num w:numId="28">
    <w:abstractNumId w:val="11"/>
  </w:num>
  <w:num w:numId="29">
    <w:abstractNumId w:val="5"/>
  </w:num>
  <w:num w:numId="30">
    <w:abstractNumId w:val="30"/>
  </w:num>
  <w:num w:numId="31">
    <w:abstractNumId w:val="34"/>
  </w:num>
  <w:num w:numId="32">
    <w:abstractNumId w:val="2"/>
  </w:num>
  <w:num w:numId="33">
    <w:abstractNumId w:val="23"/>
  </w:num>
  <w:num w:numId="34">
    <w:abstractNumId w:val="13"/>
  </w:num>
  <w:num w:numId="35">
    <w:abstractNumId w:val="31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04A"/>
    <w:rsid w:val="000052B3"/>
    <w:rsid w:val="00006F2A"/>
    <w:rsid w:val="0001187E"/>
    <w:rsid w:val="00013CBC"/>
    <w:rsid w:val="00013DBE"/>
    <w:rsid w:val="00014312"/>
    <w:rsid w:val="0001457F"/>
    <w:rsid w:val="0002079B"/>
    <w:rsid w:val="00022346"/>
    <w:rsid w:val="00022814"/>
    <w:rsid w:val="00022EC3"/>
    <w:rsid w:val="00023D5C"/>
    <w:rsid w:val="000250EA"/>
    <w:rsid w:val="0002703C"/>
    <w:rsid w:val="0003084B"/>
    <w:rsid w:val="000308E9"/>
    <w:rsid w:val="00031609"/>
    <w:rsid w:val="00033A9D"/>
    <w:rsid w:val="00035C23"/>
    <w:rsid w:val="00035CAC"/>
    <w:rsid w:val="00036829"/>
    <w:rsid w:val="000378D5"/>
    <w:rsid w:val="000443C0"/>
    <w:rsid w:val="00045107"/>
    <w:rsid w:val="00045327"/>
    <w:rsid w:val="00046E7B"/>
    <w:rsid w:val="00051715"/>
    <w:rsid w:val="00053123"/>
    <w:rsid w:val="000537D7"/>
    <w:rsid w:val="00056ECB"/>
    <w:rsid w:val="000605FB"/>
    <w:rsid w:val="000610ED"/>
    <w:rsid w:val="000634B4"/>
    <w:rsid w:val="000658F5"/>
    <w:rsid w:val="00066B4E"/>
    <w:rsid w:val="00073AB5"/>
    <w:rsid w:val="0008149C"/>
    <w:rsid w:val="00081B91"/>
    <w:rsid w:val="00082D9F"/>
    <w:rsid w:val="00084513"/>
    <w:rsid w:val="0008528F"/>
    <w:rsid w:val="00087CD7"/>
    <w:rsid w:val="00090AA3"/>
    <w:rsid w:val="00091698"/>
    <w:rsid w:val="00092DDA"/>
    <w:rsid w:val="00093F06"/>
    <w:rsid w:val="0009524B"/>
    <w:rsid w:val="00095E5D"/>
    <w:rsid w:val="000A0F3D"/>
    <w:rsid w:val="000A31A2"/>
    <w:rsid w:val="000A5A31"/>
    <w:rsid w:val="000A7727"/>
    <w:rsid w:val="000B4389"/>
    <w:rsid w:val="000B61CC"/>
    <w:rsid w:val="000B7478"/>
    <w:rsid w:val="000C496D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0976"/>
    <w:rsid w:val="000F462A"/>
    <w:rsid w:val="000F4E6F"/>
    <w:rsid w:val="000F6116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7845"/>
    <w:rsid w:val="00130AA3"/>
    <w:rsid w:val="0013261B"/>
    <w:rsid w:val="00132810"/>
    <w:rsid w:val="00134FE6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65B93"/>
    <w:rsid w:val="00166512"/>
    <w:rsid w:val="00167E15"/>
    <w:rsid w:val="00170062"/>
    <w:rsid w:val="00170BB1"/>
    <w:rsid w:val="00174675"/>
    <w:rsid w:val="00175BF4"/>
    <w:rsid w:val="00176CC5"/>
    <w:rsid w:val="00181B38"/>
    <w:rsid w:val="00182826"/>
    <w:rsid w:val="00185316"/>
    <w:rsid w:val="00186120"/>
    <w:rsid w:val="001861F6"/>
    <w:rsid w:val="00186B5A"/>
    <w:rsid w:val="00187ACF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ADF"/>
    <w:rsid w:val="001B7DF2"/>
    <w:rsid w:val="001C104F"/>
    <w:rsid w:val="001C1A7B"/>
    <w:rsid w:val="001C3B49"/>
    <w:rsid w:val="001D3D7C"/>
    <w:rsid w:val="001D4466"/>
    <w:rsid w:val="001D5C4C"/>
    <w:rsid w:val="001D5FA4"/>
    <w:rsid w:val="001E1315"/>
    <w:rsid w:val="001E2169"/>
    <w:rsid w:val="001E4372"/>
    <w:rsid w:val="001E4C84"/>
    <w:rsid w:val="001E59CC"/>
    <w:rsid w:val="001F64E6"/>
    <w:rsid w:val="00200B9F"/>
    <w:rsid w:val="00203192"/>
    <w:rsid w:val="00203EBB"/>
    <w:rsid w:val="00212E3E"/>
    <w:rsid w:val="002134CE"/>
    <w:rsid w:val="002160F5"/>
    <w:rsid w:val="00216826"/>
    <w:rsid w:val="002177AB"/>
    <w:rsid w:val="002236CF"/>
    <w:rsid w:val="00227EC3"/>
    <w:rsid w:val="00234A47"/>
    <w:rsid w:val="0023500B"/>
    <w:rsid w:val="0023547D"/>
    <w:rsid w:val="002363DD"/>
    <w:rsid w:val="00236DA3"/>
    <w:rsid w:val="00237B5C"/>
    <w:rsid w:val="00237FA3"/>
    <w:rsid w:val="00241ABE"/>
    <w:rsid w:val="00242F36"/>
    <w:rsid w:val="00243A6E"/>
    <w:rsid w:val="002460D9"/>
    <w:rsid w:val="00246AD2"/>
    <w:rsid w:val="00246B2F"/>
    <w:rsid w:val="002510AE"/>
    <w:rsid w:val="00252713"/>
    <w:rsid w:val="00263E2C"/>
    <w:rsid w:val="00264574"/>
    <w:rsid w:val="00270D6F"/>
    <w:rsid w:val="002723FA"/>
    <w:rsid w:val="0027627D"/>
    <w:rsid w:val="00280661"/>
    <w:rsid w:val="002817F8"/>
    <w:rsid w:val="00281A78"/>
    <w:rsid w:val="00291615"/>
    <w:rsid w:val="00294BC5"/>
    <w:rsid w:val="002952FD"/>
    <w:rsid w:val="00295BF6"/>
    <w:rsid w:val="0029641D"/>
    <w:rsid w:val="002A0FD3"/>
    <w:rsid w:val="002A2ECD"/>
    <w:rsid w:val="002A44E8"/>
    <w:rsid w:val="002A4F7B"/>
    <w:rsid w:val="002A58DF"/>
    <w:rsid w:val="002B2292"/>
    <w:rsid w:val="002B2FA7"/>
    <w:rsid w:val="002C1D95"/>
    <w:rsid w:val="002C2595"/>
    <w:rsid w:val="002C2BEC"/>
    <w:rsid w:val="002C3D8E"/>
    <w:rsid w:val="002C4771"/>
    <w:rsid w:val="002C748F"/>
    <w:rsid w:val="002C7D67"/>
    <w:rsid w:val="002D1B82"/>
    <w:rsid w:val="002D3A11"/>
    <w:rsid w:val="002D6E8A"/>
    <w:rsid w:val="002E076F"/>
    <w:rsid w:val="002E0C53"/>
    <w:rsid w:val="002E14E6"/>
    <w:rsid w:val="002E1D88"/>
    <w:rsid w:val="002E277F"/>
    <w:rsid w:val="002E3CA0"/>
    <w:rsid w:val="002E4D20"/>
    <w:rsid w:val="002E7EDD"/>
    <w:rsid w:val="002F189D"/>
    <w:rsid w:val="002F5D92"/>
    <w:rsid w:val="002F5FE9"/>
    <w:rsid w:val="00302CA0"/>
    <w:rsid w:val="0030393A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4084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2E49"/>
    <w:rsid w:val="00373508"/>
    <w:rsid w:val="00373E14"/>
    <w:rsid w:val="00373E25"/>
    <w:rsid w:val="003743BD"/>
    <w:rsid w:val="00376017"/>
    <w:rsid w:val="0037739E"/>
    <w:rsid w:val="00380D5F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97030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D77EC"/>
    <w:rsid w:val="003E105D"/>
    <w:rsid w:val="003E1DA5"/>
    <w:rsid w:val="003E2C24"/>
    <w:rsid w:val="003E4021"/>
    <w:rsid w:val="003E4879"/>
    <w:rsid w:val="003E68F0"/>
    <w:rsid w:val="003F121C"/>
    <w:rsid w:val="003F5038"/>
    <w:rsid w:val="00401B1F"/>
    <w:rsid w:val="00401EA5"/>
    <w:rsid w:val="0040277B"/>
    <w:rsid w:val="0040293B"/>
    <w:rsid w:val="0040482E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714"/>
    <w:rsid w:val="0044099A"/>
    <w:rsid w:val="00441B3F"/>
    <w:rsid w:val="004431EA"/>
    <w:rsid w:val="0044396A"/>
    <w:rsid w:val="00444F9C"/>
    <w:rsid w:val="0044543E"/>
    <w:rsid w:val="0044573B"/>
    <w:rsid w:val="00446323"/>
    <w:rsid w:val="00446656"/>
    <w:rsid w:val="00446FED"/>
    <w:rsid w:val="00447593"/>
    <w:rsid w:val="004507F4"/>
    <w:rsid w:val="00451618"/>
    <w:rsid w:val="004523CD"/>
    <w:rsid w:val="00453D62"/>
    <w:rsid w:val="0045416A"/>
    <w:rsid w:val="00454B16"/>
    <w:rsid w:val="004553FD"/>
    <w:rsid w:val="0045704A"/>
    <w:rsid w:val="0045705A"/>
    <w:rsid w:val="00457BB1"/>
    <w:rsid w:val="004600DF"/>
    <w:rsid w:val="00460633"/>
    <w:rsid w:val="00460E00"/>
    <w:rsid w:val="004655FA"/>
    <w:rsid w:val="00467853"/>
    <w:rsid w:val="00474176"/>
    <w:rsid w:val="004750E0"/>
    <w:rsid w:val="00475B1C"/>
    <w:rsid w:val="00480609"/>
    <w:rsid w:val="00482375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2E20"/>
    <w:rsid w:val="004A31FE"/>
    <w:rsid w:val="004A492C"/>
    <w:rsid w:val="004A7671"/>
    <w:rsid w:val="004B13E3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0246"/>
    <w:rsid w:val="004C1421"/>
    <w:rsid w:val="004C76E6"/>
    <w:rsid w:val="004D14B2"/>
    <w:rsid w:val="004D36E6"/>
    <w:rsid w:val="004D7054"/>
    <w:rsid w:val="004F17E9"/>
    <w:rsid w:val="004F1E13"/>
    <w:rsid w:val="004F2174"/>
    <w:rsid w:val="004F21EB"/>
    <w:rsid w:val="004F7F3B"/>
    <w:rsid w:val="0050148C"/>
    <w:rsid w:val="00505929"/>
    <w:rsid w:val="00506656"/>
    <w:rsid w:val="0051142E"/>
    <w:rsid w:val="00515489"/>
    <w:rsid w:val="0051702C"/>
    <w:rsid w:val="00517237"/>
    <w:rsid w:val="005173A5"/>
    <w:rsid w:val="00520DEE"/>
    <w:rsid w:val="00521CBD"/>
    <w:rsid w:val="00530C35"/>
    <w:rsid w:val="00530F4B"/>
    <w:rsid w:val="00531F9B"/>
    <w:rsid w:val="005354FC"/>
    <w:rsid w:val="0054121B"/>
    <w:rsid w:val="00544CC2"/>
    <w:rsid w:val="00546839"/>
    <w:rsid w:val="00550BF8"/>
    <w:rsid w:val="005515F4"/>
    <w:rsid w:val="005516B9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317F"/>
    <w:rsid w:val="00585C5A"/>
    <w:rsid w:val="00585DD6"/>
    <w:rsid w:val="0058645F"/>
    <w:rsid w:val="00586514"/>
    <w:rsid w:val="00590739"/>
    <w:rsid w:val="00592F1D"/>
    <w:rsid w:val="00597348"/>
    <w:rsid w:val="005A0950"/>
    <w:rsid w:val="005A141D"/>
    <w:rsid w:val="005A1D86"/>
    <w:rsid w:val="005A270C"/>
    <w:rsid w:val="005A4D71"/>
    <w:rsid w:val="005A5621"/>
    <w:rsid w:val="005A622C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B4B"/>
    <w:rsid w:val="005E1E73"/>
    <w:rsid w:val="005E53A6"/>
    <w:rsid w:val="005E574A"/>
    <w:rsid w:val="005E5FCE"/>
    <w:rsid w:val="005E65EC"/>
    <w:rsid w:val="005F001E"/>
    <w:rsid w:val="005F1CD0"/>
    <w:rsid w:val="005F3829"/>
    <w:rsid w:val="005F3DFB"/>
    <w:rsid w:val="005F3E9A"/>
    <w:rsid w:val="005F498B"/>
    <w:rsid w:val="0060015C"/>
    <w:rsid w:val="0060062F"/>
    <w:rsid w:val="00601D13"/>
    <w:rsid w:val="0060212D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2FB2"/>
    <w:rsid w:val="00635ED0"/>
    <w:rsid w:val="00643E43"/>
    <w:rsid w:val="0064682F"/>
    <w:rsid w:val="00647000"/>
    <w:rsid w:val="00650B30"/>
    <w:rsid w:val="006533CA"/>
    <w:rsid w:val="00653C81"/>
    <w:rsid w:val="00657806"/>
    <w:rsid w:val="00661088"/>
    <w:rsid w:val="00670EF8"/>
    <w:rsid w:val="006730B3"/>
    <w:rsid w:val="0067414C"/>
    <w:rsid w:val="00674994"/>
    <w:rsid w:val="0068068B"/>
    <w:rsid w:val="00683B01"/>
    <w:rsid w:val="00685860"/>
    <w:rsid w:val="00687D38"/>
    <w:rsid w:val="00690AE1"/>
    <w:rsid w:val="006923CC"/>
    <w:rsid w:val="006971D8"/>
    <w:rsid w:val="006A0483"/>
    <w:rsid w:val="006A0CE5"/>
    <w:rsid w:val="006A0E2E"/>
    <w:rsid w:val="006A1B78"/>
    <w:rsid w:val="006A209B"/>
    <w:rsid w:val="006A46AF"/>
    <w:rsid w:val="006A5112"/>
    <w:rsid w:val="006A6299"/>
    <w:rsid w:val="006A63BE"/>
    <w:rsid w:val="006A6F44"/>
    <w:rsid w:val="006A7B5C"/>
    <w:rsid w:val="006B011E"/>
    <w:rsid w:val="006B362B"/>
    <w:rsid w:val="006B4B0A"/>
    <w:rsid w:val="006B4DCC"/>
    <w:rsid w:val="006C58B6"/>
    <w:rsid w:val="006D3AA0"/>
    <w:rsid w:val="006D3F64"/>
    <w:rsid w:val="006D5935"/>
    <w:rsid w:val="006D59DC"/>
    <w:rsid w:val="006D7B2E"/>
    <w:rsid w:val="006E08AC"/>
    <w:rsid w:val="006E217C"/>
    <w:rsid w:val="006E45DF"/>
    <w:rsid w:val="006E61C2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0B2E"/>
    <w:rsid w:val="00733860"/>
    <w:rsid w:val="00737C48"/>
    <w:rsid w:val="00740988"/>
    <w:rsid w:val="00742AD0"/>
    <w:rsid w:val="0074354C"/>
    <w:rsid w:val="007470EA"/>
    <w:rsid w:val="007508DC"/>
    <w:rsid w:val="00754C4C"/>
    <w:rsid w:val="00755AA0"/>
    <w:rsid w:val="00761DBF"/>
    <w:rsid w:val="00762938"/>
    <w:rsid w:val="00766AF1"/>
    <w:rsid w:val="00770E00"/>
    <w:rsid w:val="007744B5"/>
    <w:rsid w:val="007822D6"/>
    <w:rsid w:val="007839D5"/>
    <w:rsid w:val="007844C2"/>
    <w:rsid w:val="0078460D"/>
    <w:rsid w:val="00785C5C"/>
    <w:rsid w:val="00787772"/>
    <w:rsid w:val="007941EB"/>
    <w:rsid w:val="00797F57"/>
    <w:rsid w:val="007A0FCE"/>
    <w:rsid w:val="007A2EEE"/>
    <w:rsid w:val="007A50A1"/>
    <w:rsid w:val="007A6A85"/>
    <w:rsid w:val="007A7DDF"/>
    <w:rsid w:val="007B029B"/>
    <w:rsid w:val="007B1DF8"/>
    <w:rsid w:val="007B2DE7"/>
    <w:rsid w:val="007B51D9"/>
    <w:rsid w:val="007B6F21"/>
    <w:rsid w:val="007B720A"/>
    <w:rsid w:val="007C02EB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5C4C"/>
    <w:rsid w:val="007E5F58"/>
    <w:rsid w:val="007E7BF7"/>
    <w:rsid w:val="007F0793"/>
    <w:rsid w:val="007F65B4"/>
    <w:rsid w:val="00800B87"/>
    <w:rsid w:val="00800C32"/>
    <w:rsid w:val="00803D56"/>
    <w:rsid w:val="00811F30"/>
    <w:rsid w:val="00814666"/>
    <w:rsid w:val="0081486B"/>
    <w:rsid w:val="00815BD2"/>
    <w:rsid w:val="00817ED5"/>
    <w:rsid w:val="00817F48"/>
    <w:rsid w:val="00817F86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299"/>
    <w:rsid w:val="008355DE"/>
    <w:rsid w:val="00835ABA"/>
    <w:rsid w:val="00836761"/>
    <w:rsid w:val="00837B33"/>
    <w:rsid w:val="0084049D"/>
    <w:rsid w:val="008420F5"/>
    <w:rsid w:val="0084313C"/>
    <w:rsid w:val="0084372D"/>
    <w:rsid w:val="00843A62"/>
    <w:rsid w:val="00843DBD"/>
    <w:rsid w:val="00845CFD"/>
    <w:rsid w:val="00845D95"/>
    <w:rsid w:val="00847200"/>
    <w:rsid w:val="00850212"/>
    <w:rsid w:val="00850D8D"/>
    <w:rsid w:val="008523A0"/>
    <w:rsid w:val="00853B36"/>
    <w:rsid w:val="0085685B"/>
    <w:rsid w:val="00857602"/>
    <w:rsid w:val="008803FC"/>
    <w:rsid w:val="00882820"/>
    <w:rsid w:val="008829D2"/>
    <w:rsid w:val="00885952"/>
    <w:rsid w:val="008873F4"/>
    <w:rsid w:val="00893553"/>
    <w:rsid w:val="008948EC"/>
    <w:rsid w:val="008A27D9"/>
    <w:rsid w:val="008A3050"/>
    <w:rsid w:val="008A390C"/>
    <w:rsid w:val="008A479F"/>
    <w:rsid w:val="008B6947"/>
    <w:rsid w:val="008C0466"/>
    <w:rsid w:val="008C0894"/>
    <w:rsid w:val="008C45EA"/>
    <w:rsid w:val="008C695E"/>
    <w:rsid w:val="008C7B7F"/>
    <w:rsid w:val="008D06E6"/>
    <w:rsid w:val="008D1AC1"/>
    <w:rsid w:val="008D2E1B"/>
    <w:rsid w:val="008D3728"/>
    <w:rsid w:val="008D37AD"/>
    <w:rsid w:val="008D4E78"/>
    <w:rsid w:val="008D72A3"/>
    <w:rsid w:val="008E2033"/>
    <w:rsid w:val="008E20BC"/>
    <w:rsid w:val="008E261F"/>
    <w:rsid w:val="008E3654"/>
    <w:rsid w:val="008E7204"/>
    <w:rsid w:val="008F4929"/>
    <w:rsid w:val="008F4A29"/>
    <w:rsid w:val="008F6997"/>
    <w:rsid w:val="00900FB4"/>
    <w:rsid w:val="0090255D"/>
    <w:rsid w:val="00902AF1"/>
    <w:rsid w:val="00903FD0"/>
    <w:rsid w:val="00904402"/>
    <w:rsid w:val="009049E5"/>
    <w:rsid w:val="009101E9"/>
    <w:rsid w:val="0091142A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5DD2"/>
    <w:rsid w:val="00936C31"/>
    <w:rsid w:val="0094146B"/>
    <w:rsid w:val="00942663"/>
    <w:rsid w:val="009433BB"/>
    <w:rsid w:val="00945396"/>
    <w:rsid w:val="00947D1A"/>
    <w:rsid w:val="00951378"/>
    <w:rsid w:val="009538A2"/>
    <w:rsid w:val="00955603"/>
    <w:rsid w:val="00964D91"/>
    <w:rsid w:val="00965F1B"/>
    <w:rsid w:val="00967245"/>
    <w:rsid w:val="00967DB2"/>
    <w:rsid w:val="009734FE"/>
    <w:rsid w:val="00975E08"/>
    <w:rsid w:val="00977D9F"/>
    <w:rsid w:val="009807F0"/>
    <w:rsid w:val="009818DB"/>
    <w:rsid w:val="00982F15"/>
    <w:rsid w:val="00983CFD"/>
    <w:rsid w:val="00983D2C"/>
    <w:rsid w:val="009841B0"/>
    <w:rsid w:val="009845D5"/>
    <w:rsid w:val="00990A52"/>
    <w:rsid w:val="00990C9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07FD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D71BF"/>
    <w:rsid w:val="009E0B6E"/>
    <w:rsid w:val="009E1A94"/>
    <w:rsid w:val="009E5B09"/>
    <w:rsid w:val="009E620D"/>
    <w:rsid w:val="009E66E9"/>
    <w:rsid w:val="009E6729"/>
    <w:rsid w:val="009F0049"/>
    <w:rsid w:val="009F009F"/>
    <w:rsid w:val="009F057D"/>
    <w:rsid w:val="009F1C67"/>
    <w:rsid w:val="009F4616"/>
    <w:rsid w:val="009F56A0"/>
    <w:rsid w:val="009F58C1"/>
    <w:rsid w:val="009F6E36"/>
    <w:rsid w:val="00A001B3"/>
    <w:rsid w:val="00A00B3A"/>
    <w:rsid w:val="00A03B8D"/>
    <w:rsid w:val="00A0538F"/>
    <w:rsid w:val="00A0555B"/>
    <w:rsid w:val="00A06282"/>
    <w:rsid w:val="00A10468"/>
    <w:rsid w:val="00A12969"/>
    <w:rsid w:val="00A15133"/>
    <w:rsid w:val="00A173A6"/>
    <w:rsid w:val="00A17A9D"/>
    <w:rsid w:val="00A23D0D"/>
    <w:rsid w:val="00A304A5"/>
    <w:rsid w:val="00A308CC"/>
    <w:rsid w:val="00A3211D"/>
    <w:rsid w:val="00A34907"/>
    <w:rsid w:val="00A35792"/>
    <w:rsid w:val="00A41970"/>
    <w:rsid w:val="00A4200F"/>
    <w:rsid w:val="00A42609"/>
    <w:rsid w:val="00A42A8F"/>
    <w:rsid w:val="00A42F5C"/>
    <w:rsid w:val="00A507A2"/>
    <w:rsid w:val="00A52A2F"/>
    <w:rsid w:val="00A52A8C"/>
    <w:rsid w:val="00A54601"/>
    <w:rsid w:val="00A54B90"/>
    <w:rsid w:val="00A57E4E"/>
    <w:rsid w:val="00A6234C"/>
    <w:rsid w:val="00A647EE"/>
    <w:rsid w:val="00A64AEB"/>
    <w:rsid w:val="00A6652C"/>
    <w:rsid w:val="00A70015"/>
    <w:rsid w:val="00A703C6"/>
    <w:rsid w:val="00A746A2"/>
    <w:rsid w:val="00A746F8"/>
    <w:rsid w:val="00A7527C"/>
    <w:rsid w:val="00A77641"/>
    <w:rsid w:val="00A80F4D"/>
    <w:rsid w:val="00A810E8"/>
    <w:rsid w:val="00A834BE"/>
    <w:rsid w:val="00A868DF"/>
    <w:rsid w:val="00A9279E"/>
    <w:rsid w:val="00A93425"/>
    <w:rsid w:val="00A93C32"/>
    <w:rsid w:val="00A97768"/>
    <w:rsid w:val="00AA195B"/>
    <w:rsid w:val="00AA1B08"/>
    <w:rsid w:val="00AA4BDB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3225"/>
    <w:rsid w:val="00AB4E76"/>
    <w:rsid w:val="00AB55F3"/>
    <w:rsid w:val="00AB60B9"/>
    <w:rsid w:val="00AB7953"/>
    <w:rsid w:val="00AC0695"/>
    <w:rsid w:val="00AC1642"/>
    <w:rsid w:val="00AC20C9"/>
    <w:rsid w:val="00AC2B99"/>
    <w:rsid w:val="00AC2F19"/>
    <w:rsid w:val="00AC4334"/>
    <w:rsid w:val="00AD1E32"/>
    <w:rsid w:val="00AD27E0"/>
    <w:rsid w:val="00AD5446"/>
    <w:rsid w:val="00AD56BC"/>
    <w:rsid w:val="00AD7001"/>
    <w:rsid w:val="00AD7E0D"/>
    <w:rsid w:val="00AE2FBB"/>
    <w:rsid w:val="00AE5D68"/>
    <w:rsid w:val="00AF02F0"/>
    <w:rsid w:val="00AF1679"/>
    <w:rsid w:val="00AF48B5"/>
    <w:rsid w:val="00AF5F49"/>
    <w:rsid w:val="00AF6B3D"/>
    <w:rsid w:val="00AF6FE2"/>
    <w:rsid w:val="00B015A1"/>
    <w:rsid w:val="00B02199"/>
    <w:rsid w:val="00B0230A"/>
    <w:rsid w:val="00B02B89"/>
    <w:rsid w:val="00B04A45"/>
    <w:rsid w:val="00B06856"/>
    <w:rsid w:val="00B0728D"/>
    <w:rsid w:val="00B12A0F"/>
    <w:rsid w:val="00B15965"/>
    <w:rsid w:val="00B17027"/>
    <w:rsid w:val="00B20D86"/>
    <w:rsid w:val="00B213F4"/>
    <w:rsid w:val="00B22870"/>
    <w:rsid w:val="00B252C9"/>
    <w:rsid w:val="00B3135F"/>
    <w:rsid w:val="00B31B61"/>
    <w:rsid w:val="00B32C5D"/>
    <w:rsid w:val="00B33FFE"/>
    <w:rsid w:val="00B36395"/>
    <w:rsid w:val="00B36DF1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721"/>
    <w:rsid w:val="00B7301C"/>
    <w:rsid w:val="00B740D8"/>
    <w:rsid w:val="00B77D88"/>
    <w:rsid w:val="00B82B3D"/>
    <w:rsid w:val="00B86EB9"/>
    <w:rsid w:val="00B87ECE"/>
    <w:rsid w:val="00B94536"/>
    <w:rsid w:val="00B946A8"/>
    <w:rsid w:val="00B95D7E"/>
    <w:rsid w:val="00B97B8B"/>
    <w:rsid w:val="00BA1825"/>
    <w:rsid w:val="00BA2DFC"/>
    <w:rsid w:val="00BA7F73"/>
    <w:rsid w:val="00BB066B"/>
    <w:rsid w:val="00BB2A98"/>
    <w:rsid w:val="00BB47BD"/>
    <w:rsid w:val="00BB61A6"/>
    <w:rsid w:val="00BB7B64"/>
    <w:rsid w:val="00BC0DD0"/>
    <w:rsid w:val="00BC175E"/>
    <w:rsid w:val="00BC18E8"/>
    <w:rsid w:val="00BC1D8C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287B"/>
    <w:rsid w:val="00C03FA6"/>
    <w:rsid w:val="00C04E06"/>
    <w:rsid w:val="00C051C4"/>
    <w:rsid w:val="00C053FD"/>
    <w:rsid w:val="00C068F1"/>
    <w:rsid w:val="00C07929"/>
    <w:rsid w:val="00C1075B"/>
    <w:rsid w:val="00C10E9C"/>
    <w:rsid w:val="00C1197D"/>
    <w:rsid w:val="00C15073"/>
    <w:rsid w:val="00C1647A"/>
    <w:rsid w:val="00C20510"/>
    <w:rsid w:val="00C20C36"/>
    <w:rsid w:val="00C242AF"/>
    <w:rsid w:val="00C250FB"/>
    <w:rsid w:val="00C26600"/>
    <w:rsid w:val="00C32F7F"/>
    <w:rsid w:val="00C33CAE"/>
    <w:rsid w:val="00C34049"/>
    <w:rsid w:val="00C3500B"/>
    <w:rsid w:val="00C36D3F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1366"/>
    <w:rsid w:val="00C7221F"/>
    <w:rsid w:val="00C73CD1"/>
    <w:rsid w:val="00C75CED"/>
    <w:rsid w:val="00C77B8E"/>
    <w:rsid w:val="00C810D0"/>
    <w:rsid w:val="00C84D54"/>
    <w:rsid w:val="00C86B6D"/>
    <w:rsid w:val="00C97649"/>
    <w:rsid w:val="00CA02C8"/>
    <w:rsid w:val="00CA0697"/>
    <w:rsid w:val="00CB3E64"/>
    <w:rsid w:val="00CB6180"/>
    <w:rsid w:val="00CB6323"/>
    <w:rsid w:val="00CB643B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D7E27"/>
    <w:rsid w:val="00CE0800"/>
    <w:rsid w:val="00CE373A"/>
    <w:rsid w:val="00CE5B5C"/>
    <w:rsid w:val="00CE644E"/>
    <w:rsid w:val="00CE79E3"/>
    <w:rsid w:val="00CF18D5"/>
    <w:rsid w:val="00CF1DA0"/>
    <w:rsid w:val="00CF4050"/>
    <w:rsid w:val="00CF7CC5"/>
    <w:rsid w:val="00CF7EC1"/>
    <w:rsid w:val="00D000E7"/>
    <w:rsid w:val="00D0679E"/>
    <w:rsid w:val="00D109E0"/>
    <w:rsid w:val="00D10FB3"/>
    <w:rsid w:val="00D11A85"/>
    <w:rsid w:val="00D12A3E"/>
    <w:rsid w:val="00D1440C"/>
    <w:rsid w:val="00D144F8"/>
    <w:rsid w:val="00D17675"/>
    <w:rsid w:val="00D2139E"/>
    <w:rsid w:val="00D21A3C"/>
    <w:rsid w:val="00D223A8"/>
    <w:rsid w:val="00D22484"/>
    <w:rsid w:val="00D25465"/>
    <w:rsid w:val="00D259F9"/>
    <w:rsid w:val="00D307D4"/>
    <w:rsid w:val="00D30B45"/>
    <w:rsid w:val="00D30FC6"/>
    <w:rsid w:val="00D32C43"/>
    <w:rsid w:val="00D32CE7"/>
    <w:rsid w:val="00D33D3D"/>
    <w:rsid w:val="00D355EF"/>
    <w:rsid w:val="00D357E5"/>
    <w:rsid w:val="00D358EC"/>
    <w:rsid w:val="00D35B0C"/>
    <w:rsid w:val="00D36920"/>
    <w:rsid w:val="00D405EC"/>
    <w:rsid w:val="00D45B71"/>
    <w:rsid w:val="00D461C0"/>
    <w:rsid w:val="00D4632E"/>
    <w:rsid w:val="00D476BA"/>
    <w:rsid w:val="00D50343"/>
    <w:rsid w:val="00D508DB"/>
    <w:rsid w:val="00D50AF0"/>
    <w:rsid w:val="00D5225D"/>
    <w:rsid w:val="00D60DE8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09AB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964AC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0DEB"/>
    <w:rsid w:val="00DE31B8"/>
    <w:rsid w:val="00DF6BB5"/>
    <w:rsid w:val="00DF7D44"/>
    <w:rsid w:val="00DF7F09"/>
    <w:rsid w:val="00E007F3"/>
    <w:rsid w:val="00E01464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31A9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10F6"/>
    <w:rsid w:val="00EA660B"/>
    <w:rsid w:val="00EA6995"/>
    <w:rsid w:val="00EB0D2F"/>
    <w:rsid w:val="00EB4D99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26B3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27BAF"/>
    <w:rsid w:val="00F31712"/>
    <w:rsid w:val="00F3246F"/>
    <w:rsid w:val="00F3295F"/>
    <w:rsid w:val="00F32C3A"/>
    <w:rsid w:val="00F33B61"/>
    <w:rsid w:val="00F371AE"/>
    <w:rsid w:val="00F416DB"/>
    <w:rsid w:val="00F45ED9"/>
    <w:rsid w:val="00F47A24"/>
    <w:rsid w:val="00F47E20"/>
    <w:rsid w:val="00F50FCC"/>
    <w:rsid w:val="00F51C80"/>
    <w:rsid w:val="00F53710"/>
    <w:rsid w:val="00F53D20"/>
    <w:rsid w:val="00F55335"/>
    <w:rsid w:val="00F55D34"/>
    <w:rsid w:val="00F56909"/>
    <w:rsid w:val="00F60B59"/>
    <w:rsid w:val="00F668E6"/>
    <w:rsid w:val="00F6743F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A5D8C"/>
    <w:rsid w:val="00FB090E"/>
    <w:rsid w:val="00FB0E10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3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A0E6F-8C71-419A-B4C2-C5920FF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Assignment Management</dc:title>
  <dc:creator>TPrice</dc:creator>
  <cp:keywords>HowTo</cp:keywords>
  <cp:lastModifiedBy>Patricia Price</cp:lastModifiedBy>
  <cp:revision>2</cp:revision>
  <cp:lastPrinted>2016-05-02T21:32:00Z</cp:lastPrinted>
  <dcterms:created xsi:type="dcterms:W3CDTF">2018-06-21T20:51:00Z</dcterms:created>
  <dcterms:modified xsi:type="dcterms:W3CDTF">2018-06-21T20:51:00Z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