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1F5B" w14:textId="7A0E7D76" w:rsidR="007066E3" w:rsidRDefault="00B17027" w:rsidP="004F1E13">
      <w:pPr>
        <w:pStyle w:val="Heading1"/>
      </w:pPr>
      <w:bookmarkStart w:id="0" w:name="_Toc442782752"/>
      <w:r>
        <w:t>Supplier</w:t>
      </w:r>
      <w:r w:rsidR="007F65B4">
        <w:t xml:space="preserve">: </w:t>
      </w:r>
      <w:r w:rsidR="006559A9">
        <w:t>Approve</w:t>
      </w:r>
      <w:r w:rsidR="007049EE">
        <w:t>/Reject</w:t>
      </w:r>
      <w:r w:rsidR="0007040E">
        <w:t xml:space="preserve"> Offers</w:t>
      </w:r>
    </w:p>
    <w:p w14:paraId="5744D51A" w14:textId="48BFD316" w:rsidR="007066E3" w:rsidRPr="00DB2499" w:rsidRDefault="00A9279E" w:rsidP="00BE1EE1">
      <w:r w:rsidRPr="00A9279E">
        <w:t xml:space="preserve">This document provides </w:t>
      </w:r>
      <w:r w:rsidR="00B17027">
        <w:t>suppliers</w:t>
      </w:r>
      <w:r w:rsidRPr="00A9279E">
        <w:t xml:space="preserve"> with the steps necessary to </w:t>
      </w:r>
      <w:r w:rsidR="0007040E">
        <w:t>approve</w:t>
      </w:r>
      <w:r w:rsidR="007049EE">
        <w:t>/reject</w:t>
      </w:r>
      <w:r w:rsidR="0007040E">
        <w:t xml:space="preserve"> Offer</w:t>
      </w:r>
      <w:r w:rsidR="007049EE">
        <w:t>s</w:t>
      </w:r>
      <w:r w:rsidRPr="00A9279E">
        <w:t xml:space="preserve">. This guide uses standard </w:t>
      </w:r>
      <w:r w:rsidR="00651A86">
        <w:t xml:space="preserve">IQN VMS </w:t>
      </w:r>
      <w:r w:rsidRPr="00A9279E">
        <w:t xml:space="preserve">configuration. Your specific setup may vary slightly based on your </w:t>
      </w:r>
      <w:r w:rsidR="004963ED">
        <w:t>client</w:t>
      </w:r>
      <w:r w:rsidRPr="00A9279E">
        <w:t>'s configuration.</w:t>
      </w:r>
    </w:p>
    <w:p w14:paraId="5AE0ADBF" w14:textId="4A919182" w:rsidR="00AC4334" w:rsidRPr="007066E3" w:rsidRDefault="00A9279E" w:rsidP="004F1E13">
      <w:pPr>
        <w:pStyle w:val="Heading2"/>
      </w:pPr>
      <w:r>
        <w:t xml:space="preserve">To </w:t>
      </w:r>
      <w:r w:rsidR="007049EE">
        <w:t>View</w:t>
      </w:r>
      <w:r w:rsidR="0007040E">
        <w:t xml:space="preserve"> Offers</w:t>
      </w:r>
      <w:r w:rsidR="007049EE">
        <w:t xml:space="preserve"> </w:t>
      </w:r>
      <w:r w:rsidR="001C5E47">
        <w:t>Submitted for</w:t>
      </w:r>
      <w:r w:rsidR="007049EE">
        <w:t xml:space="preserve"> Approval</w:t>
      </w:r>
      <w:r>
        <w:t>:</w:t>
      </w:r>
    </w:p>
    <w:p w14:paraId="755EB188" w14:textId="1E5E5D4F" w:rsidR="00A9279E" w:rsidRPr="00722937" w:rsidRDefault="00A9279E" w:rsidP="00722937">
      <w:pPr>
        <w:numPr>
          <w:ilvl w:val="0"/>
          <w:numId w:val="10"/>
        </w:numPr>
        <w:tabs>
          <w:tab w:val="left" w:pos="40"/>
        </w:tabs>
        <w:spacing w:after="0" w:line="360" w:lineRule="auto"/>
        <w:rPr>
          <w:szCs w:val="20"/>
        </w:rPr>
      </w:pPr>
      <w:r w:rsidRPr="006F684D">
        <w:rPr>
          <w:szCs w:val="20"/>
        </w:rPr>
        <w:t xml:space="preserve">Log in to </w:t>
      </w:r>
      <w:r>
        <w:rPr>
          <w:szCs w:val="20"/>
        </w:rPr>
        <w:t>IQNavigator</w:t>
      </w:r>
      <w:r w:rsidRPr="006F684D">
        <w:rPr>
          <w:szCs w:val="20"/>
        </w:rPr>
        <w:t xml:space="preserve"> using your </w:t>
      </w:r>
      <w:r w:rsidRPr="006F684D">
        <w:rPr>
          <w:i/>
          <w:iCs/>
          <w:szCs w:val="20"/>
        </w:rPr>
        <w:t>user name</w:t>
      </w:r>
      <w:r w:rsidRPr="006F684D">
        <w:rPr>
          <w:szCs w:val="20"/>
        </w:rPr>
        <w:t xml:space="preserve"> and </w:t>
      </w:r>
      <w:r w:rsidRPr="006F684D">
        <w:rPr>
          <w:i/>
          <w:iCs/>
          <w:szCs w:val="20"/>
        </w:rPr>
        <w:t>password</w:t>
      </w:r>
      <w:r w:rsidRPr="006F684D">
        <w:rPr>
          <w:szCs w:val="20"/>
        </w:rPr>
        <w:t xml:space="preserve">. </w:t>
      </w:r>
      <w:r w:rsidRPr="00722937">
        <w:rPr>
          <w:szCs w:val="20"/>
        </w:rPr>
        <w:t xml:space="preserve">Your Home </w:t>
      </w:r>
      <w:r w:rsidR="000443C0" w:rsidRPr="00722937">
        <w:rPr>
          <w:szCs w:val="20"/>
        </w:rPr>
        <w:t>dashboard</w:t>
      </w:r>
      <w:r w:rsidRPr="00722937">
        <w:rPr>
          <w:szCs w:val="20"/>
        </w:rPr>
        <w:t xml:space="preserve"> displays.</w:t>
      </w:r>
    </w:p>
    <w:p w14:paraId="32245D2D" w14:textId="5E1BFA95" w:rsidR="00B04D51" w:rsidRDefault="0007040E" w:rsidP="007F51D0">
      <w:pPr>
        <w:numPr>
          <w:ilvl w:val="0"/>
          <w:numId w:val="10"/>
        </w:numPr>
        <w:tabs>
          <w:tab w:val="left" w:pos="40"/>
        </w:tabs>
        <w:spacing w:line="276" w:lineRule="auto"/>
        <w:rPr>
          <w:szCs w:val="20"/>
        </w:rPr>
      </w:pPr>
      <w:r>
        <w:rPr>
          <w:szCs w:val="20"/>
        </w:rPr>
        <w:t xml:space="preserve">Click the </w:t>
      </w:r>
      <w:r w:rsidRPr="00057EE4">
        <w:rPr>
          <w:b/>
          <w:color w:val="144E9D" w:themeColor="accent3"/>
          <w:szCs w:val="20"/>
        </w:rPr>
        <w:t>offers to approve</w:t>
      </w:r>
      <w:r>
        <w:rPr>
          <w:szCs w:val="20"/>
        </w:rPr>
        <w:t xml:space="preserve"> link located in the </w:t>
      </w:r>
      <w:r w:rsidR="007F51D0">
        <w:rPr>
          <w:szCs w:val="20"/>
        </w:rPr>
        <w:t xml:space="preserve">Work Orders/Assignments section of </w:t>
      </w:r>
      <w:r w:rsidR="00F133FF">
        <w:rPr>
          <w:szCs w:val="20"/>
        </w:rPr>
        <w:t xml:space="preserve">the </w:t>
      </w:r>
      <w:r>
        <w:rPr>
          <w:szCs w:val="20"/>
        </w:rPr>
        <w:t xml:space="preserve">Status column on the right-hand side </w:t>
      </w:r>
      <w:r w:rsidR="007F51D0">
        <w:rPr>
          <w:szCs w:val="20"/>
        </w:rPr>
        <w:t>of the screen</w:t>
      </w:r>
      <w:r>
        <w:rPr>
          <w:szCs w:val="20"/>
        </w:rPr>
        <w:t xml:space="preserve">. </w:t>
      </w:r>
      <w:r w:rsidR="00057EE4">
        <w:rPr>
          <w:szCs w:val="20"/>
        </w:rPr>
        <w:t>The Work Orders – offers to approve list screen appears.</w:t>
      </w:r>
    </w:p>
    <w:p w14:paraId="0A28F9CF" w14:textId="3A92FA72" w:rsidR="0007040E" w:rsidRDefault="00711E1A" w:rsidP="00B04D51">
      <w:pPr>
        <w:tabs>
          <w:tab w:val="left" w:pos="40"/>
        </w:tabs>
        <w:spacing w:line="276" w:lineRule="auto"/>
        <w:ind w:left="360"/>
        <w:rPr>
          <w:szCs w:val="20"/>
        </w:rPr>
      </w:pPr>
      <w:r w:rsidRPr="00B04D51">
        <w:rPr>
          <w:b/>
          <w:szCs w:val="20"/>
        </w:rPr>
        <w:t>NOTE</w:t>
      </w:r>
      <w:r w:rsidRPr="00711E1A">
        <w:rPr>
          <w:szCs w:val="20"/>
        </w:rPr>
        <w:t>: This list is specific to YOUR user role</w:t>
      </w:r>
      <w:r>
        <w:rPr>
          <w:szCs w:val="20"/>
        </w:rPr>
        <w:t xml:space="preserve"> and reflects Work Orders/Assignment</w:t>
      </w:r>
      <w:r w:rsidR="00F133FF">
        <w:rPr>
          <w:szCs w:val="20"/>
        </w:rPr>
        <w:t xml:space="preserve"> Amendments</w:t>
      </w:r>
      <w:r>
        <w:rPr>
          <w:szCs w:val="20"/>
        </w:rPr>
        <w:t xml:space="preserve"> for which you are </w:t>
      </w:r>
      <w:r w:rsidR="007F51D0">
        <w:rPr>
          <w:szCs w:val="20"/>
        </w:rPr>
        <w:t xml:space="preserve">the </w:t>
      </w:r>
      <w:r>
        <w:rPr>
          <w:szCs w:val="20"/>
        </w:rPr>
        <w:t>designated contact person</w:t>
      </w:r>
      <w:r w:rsidRPr="00711E1A">
        <w:rPr>
          <w:szCs w:val="20"/>
        </w:rPr>
        <w:t>.</w:t>
      </w:r>
      <w:r w:rsidR="00F133FF">
        <w:rPr>
          <w:szCs w:val="20"/>
        </w:rPr>
        <w:t xml:space="preserve"> Work Orders track the contractual </w:t>
      </w:r>
      <w:r w:rsidR="00A728FD">
        <w:rPr>
          <w:szCs w:val="20"/>
        </w:rPr>
        <w:t>terms</w:t>
      </w:r>
      <w:r w:rsidR="00F133FF">
        <w:rPr>
          <w:szCs w:val="20"/>
        </w:rPr>
        <w:t xml:space="preserve"> of the offer and the non-contractual </w:t>
      </w:r>
      <w:r w:rsidR="00A728FD">
        <w:rPr>
          <w:szCs w:val="20"/>
        </w:rPr>
        <w:t>information fields are</w:t>
      </w:r>
      <w:r w:rsidR="00F133FF">
        <w:rPr>
          <w:szCs w:val="20"/>
        </w:rPr>
        <w:t xml:space="preserve"> managed under the assignment record. </w:t>
      </w:r>
    </w:p>
    <w:tbl>
      <w:tblPr>
        <w:tblW w:w="4987" w:type="pct"/>
        <w:tblInd w:w="25" w:type="dxa"/>
        <w:tblCellMar>
          <w:top w:w="15" w:type="dxa"/>
          <w:left w:w="15" w:type="dxa"/>
          <w:bottom w:w="15" w:type="dxa"/>
          <w:right w:w="15" w:type="dxa"/>
        </w:tblCellMar>
        <w:tblLook w:val="04A0" w:firstRow="1" w:lastRow="0" w:firstColumn="1" w:lastColumn="0" w:noHBand="0" w:noVBand="1"/>
      </w:tblPr>
      <w:tblGrid>
        <w:gridCol w:w="1079"/>
        <w:gridCol w:w="8257"/>
      </w:tblGrid>
      <w:tr w:rsidR="00057EE4" w:rsidRPr="00057EE4" w14:paraId="40A89332" w14:textId="77777777" w:rsidTr="007F51D0">
        <w:tc>
          <w:tcPr>
            <w:tcW w:w="578" w:type="pct"/>
            <w:vAlign w:val="center"/>
          </w:tcPr>
          <w:p w14:paraId="215DE2D6" w14:textId="77777777" w:rsidR="00057EE4" w:rsidRPr="00057EE4" w:rsidRDefault="00057EE4" w:rsidP="00057EE4">
            <w:pPr>
              <w:tabs>
                <w:tab w:val="left" w:pos="40"/>
              </w:tabs>
              <w:spacing w:after="0" w:line="360" w:lineRule="auto"/>
              <w:ind w:left="360"/>
              <w:rPr>
                <w:szCs w:val="20"/>
              </w:rPr>
            </w:pPr>
            <w:r w:rsidRPr="00057EE4">
              <w:rPr>
                <w:noProof/>
                <w:szCs w:val="20"/>
              </w:rPr>
              <w:drawing>
                <wp:inline distT="0" distB="0" distL="0" distR="0" wp14:anchorId="1E23C4ED" wp14:editId="2FA6D426">
                  <wp:extent cx="338328" cy="347472"/>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422" w:type="pct"/>
            <w:vAlign w:val="center"/>
          </w:tcPr>
          <w:p w14:paraId="3FD22D0D" w14:textId="77777777" w:rsidR="007F51D0" w:rsidRDefault="007F51D0" w:rsidP="006C4B08">
            <w:pPr>
              <w:tabs>
                <w:tab w:val="left" w:pos="40"/>
              </w:tabs>
              <w:spacing w:after="0" w:line="276" w:lineRule="auto"/>
              <w:ind w:left="360"/>
              <w:rPr>
                <w:i/>
                <w:iCs/>
                <w:szCs w:val="20"/>
              </w:rPr>
            </w:pPr>
            <w:r>
              <w:rPr>
                <w:i/>
                <w:iCs/>
                <w:szCs w:val="20"/>
              </w:rPr>
              <w:t xml:space="preserve">• </w:t>
            </w:r>
            <w:r w:rsidR="00057EE4" w:rsidRPr="00057EE4">
              <w:rPr>
                <w:i/>
                <w:iCs/>
                <w:szCs w:val="20"/>
              </w:rPr>
              <w:t xml:space="preserve">Use the Results per Page pull-down selection </w:t>
            </w:r>
            <w:r w:rsidR="00057EE4">
              <w:rPr>
                <w:i/>
                <w:iCs/>
                <w:szCs w:val="20"/>
              </w:rPr>
              <w:t>option</w:t>
            </w:r>
            <w:r w:rsidR="00057EE4" w:rsidRPr="00057EE4">
              <w:rPr>
                <w:i/>
                <w:iCs/>
                <w:szCs w:val="20"/>
              </w:rPr>
              <w:t xml:space="preserve"> on the right-hand side of the screen to adjust how many </w:t>
            </w:r>
            <w:r>
              <w:rPr>
                <w:i/>
                <w:iCs/>
                <w:szCs w:val="20"/>
              </w:rPr>
              <w:t xml:space="preserve">records </w:t>
            </w:r>
            <w:r w:rsidR="00057EE4" w:rsidRPr="00057EE4">
              <w:rPr>
                <w:i/>
                <w:iCs/>
                <w:szCs w:val="20"/>
              </w:rPr>
              <w:t xml:space="preserve">display per screen. </w:t>
            </w:r>
          </w:p>
          <w:p w14:paraId="56FF65D2" w14:textId="77777777" w:rsidR="00B04D51" w:rsidRDefault="007F51D0" w:rsidP="006C4B08">
            <w:pPr>
              <w:tabs>
                <w:tab w:val="left" w:pos="40"/>
              </w:tabs>
              <w:spacing w:after="0" w:line="276" w:lineRule="auto"/>
              <w:ind w:left="360"/>
              <w:rPr>
                <w:i/>
                <w:iCs/>
                <w:szCs w:val="20"/>
              </w:rPr>
            </w:pPr>
            <w:r>
              <w:rPr>
                <w:i/>
                <w:iCs/>
                <w:szCs w:val="20"/>
              </w:rPr>
              <w:t xml:space="preserve">• </w:t>
            </w:r>
            <w:r w:rsidR="00057EE4" w:rsidRPr="00057EE4">
              <w:rPr>
                <w:i/>
                <w:iCs/>
                <w:szCs w:val="20"/>
              </w:rPr>
              <w:t xml:space="preserve">Click the GO arrow </w:t>
            </w:r>
            <w:r w:rsidR="00057EE4" w:rsidRPr="00057EE4">
              <w:rPr>
                <w:i/>
                <w:iCs/>
                <w:noProof/>
                <w:szCs w:val="20"/>
              </w:rPr>
              <w:drawing>
                <wp:inline distT="0" distB="0" distL="0" distR="0" wp14:anchorId="7262EF05" wp14:editId="58787EA3">
                  <wp:extent cx="180952" cy="13333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52" cy="133333"/>
                          </a:xfrm>
                          <a:prstGeom prst="rect">
                            <a:avLst/>
                          </a:prstGeom>
                        </pic:spPr>
                      </pic:pic>
                    </a:graphicData>
                  </a:graphic>
                </wp:inline>
              </w:drawing>
            </w:r>
            <w:r w:rsidR="00057EE4" w:rsidRPr="00057EE4">
              <w:rPr>
                <w:i/>
                <w:iCs/>
                <w:szCs w:val="20"/>
              </w:rPr>
              <w:t xml:space="preserve"> to </w:t>
            </w:r>
            <w:r w:rsidR="00711E1A">
              <w:rPr>
                <w:i/>
                <w:iCs/>
                <w:szCs w:val="20"/>
              </w:rPr>
              <w:t xml:space="preserve">update </w:t>
            </w:r>
            <w:r>
              <w:rPr>
                <w:i/>
                <w:iCs/>
                <w:szCs w:val="20"/>
              </w:rPr>
              <w:t>your</w:t>
            </w:r>
            <w:r w:rsidR="00711E1A">
              <w:rPr>
                <w:i/>
                <w:iCs/>
                <w:szCs w:val="20"/>
              </w:rPr>
              <w:t xml:space="preserve"> list if you select a different </w:t>
            </w:r>
            <w:r w:rsidR="00B04D51">
              <w:rPr>
                <w:i/>
                <w:iCs/>
                <w:szCs w:val="20"/>
              </w:rPr>
              <w:t xml:space="preserve">display </w:t>
            </w:r>
            <w:r w:rsidR="00711E1A">
              <w:rPr>
                <w:i/>
                <w:iCs/>
                <w:szCs w:val="20"/>
              </w:rPr>
              <w:t>option</w:t>
            </w:r>
            <w:r w:rsidR="00057EE4" w:rsidRPr="00057EE4">
              <w:rPr>
                <w:i/>
                <w:iCs/>
                <w:szCs w:val="20"/>
              </w:rPr>
              <w:t xml:space="preserve">. </w:t>
            </w:r>
          </w:p>
          <w:p w14:paraId="427BDA94" w14:textId="77777777" w:rsidR="00B04D51" w:rsidRDefault="00B04D51" w:rsidP="006C4B08">
            <w:pPr>
              <w:tabs>
                <w:tab w:val="left" w:pos="40"/>
              </w:tabs>
              <w:spacing w:after="0" w:line="276" w:lineRule="auto"/>
              <w:ind w:left="360"/>
              <w:rPr>
                <w:i/>
                <w:iCs/>
                <w:szCs w:val="20"/>
              </w:rPr>
            </w:pPr>
            <w:r>
              <w:rPr>
                <w:i/>
                <w:iCs/>
                <w:szCs w:val="20"/>
              </w:rPr>
              <w:t xml:space="preserve">• </w:t>
            </w:r>
            <w:r w:rsidR="00711E1A">
              <w:rPr>
                <w:i/>
                <w:iCs/>
                <w:szCs w:val="20"/>
              </w:rPr>
              <w:t xml:space="preserve">Click </w:t>
            </w:r>
            <w:r>
              <w:rPr>
                <w:i/>
                <w:iCs/>
                <w:szCs w:val="20"/>
              </w:rPr>
              <w:t>any</w:t>
            </w:r>
            <w:r w:rsidR="00711E1A">
              <w:rPr>
                <w:i/>
                <w:iCs/>
                <w:szCs w:val="20"/>
              </w:rPr>
              <w:t xml:space="preserve"> column header to </w:t>
            </w:r>
            <w:r>
              <w:rPr>
                <w:i/>
                <w:iCs/>
                <w:szCs w:val="20"/>
              </w:rPr>
              <w:t xml:space="preserve">change the </w:t>
            </w:r>
            <w:r w:rsidR="00711E1A">
              <w:rPr>
                <w:i/>
                <w:iCs/>
                <w:szCs w:val="20"/>
              </w:rPr>
              <w:t>sort order</w:t>
            </w:r>
            <w:r w:rsidR="00057EE4" w:rsidRPr="00057EE4">
              <w:rPr>
                <w:i/>
                <w:iCs/>
                <w:szCs w:val="20"/>
              </w:rPr>
              <w:t xml:space="preserve">. </w:t>
            </w:r>
            <w:r w:rsidRPr="00057EE4">
              <w:rPr>
                <w:i/>
                <w:iCs/>
                <w:szCs w:val="20"/>
              </w:rPr>
              <w:t>The default</w:t>
            </w:r>
            <w:r>
              <w:rPr>
                <w:i/>
                <w:iCs/>
                <w:szCs w:val="20"/>
              </w:rPr>
              <w:t xml:space="preserve"> sort order is by Start Date, oldest first. </w:t>
            </w:r>
          </w:p>
          <w:p w14:paraId="5D314506" w14:textId="77777777" w:rsidR="00B04D51" w:rsidRDefault="00B04D51" w:rsidP="006C4B08">
            <w:pPr>
              <w:tabs>
                <w:tab w:val="left" w:pos="40"/>
              </w:tabs>
              <w:spacing w:after="0" w:line="276" w:lineRule="auto"/>
              <w:ind w:left="360"/>
              <w:rPr>
                <w:i/>
                <w:iCs/>
                <w:szCs w:val="20"/>
              </w:rPr>
            </w:pPr>
            <w:r>
              <w:rPr>
                <w:i/>
                <w:iCs/>
                <w:szCs w:val="20"/>
              </w:rPr>
              <w:t xml:space="preserve">• </w:t>
            </w:r>
            <w:r w:rsidR="007F51D0">
              <w:rPr>
                <w:i/>
                <w:iCs/>
                <w:szCs w:val="20"/>
              </w:rPr>
              <w:t xml:space="preserve">Click the column header a second time to sort in reverse order. </w:t>
            </w:r>
          </w:p>
          <w:p w14:paraId="29D3E297" w14:textId="0B7DAE2E" w:rsidR="00057EE4" w:rsidRPr="00057EE4" w:rsidRDefault="00B04D51" w:rsidP="006C4B08">
            <w:pPr>
              <w:tabs>
                <w:tab w:val="left" w:pos="40"/>
              </w:tabs>
              <w:spacing w:after="0" w:line="276" w:lineRule="auto"/>
              <w:ind w:left="360"/>
              <w:rPr>
                <w:i/>
                <w:iCs/>
                <w:szCs w:val="20"/>
              </w:rPr>
            </w:pPr>
            <w:r>
              <w:rPr>
                <w:i/>
                <w:iCs/>
                <w:szCs w:val="20"/>
              </w:rPr>
              <w:t xml:space="preserve">• </w:t>
            </w:r>
            <w:r w:rsidR="00057EE4" w:rsidRPr="00057EE4">
              <w:rPr>
                <w:i/>
                <w:iCs/>
                <w:szCs w:val="20"/>
              </w:rPr>
              <w:t xml:space="preserve">Click the </w:t>
            </w:r>
            <w:r w:rsidR="00057EE4" w:rsidRPr="00057EE4">
              <w:rPr>
                <w:i/>
                <w:iCs/>
                <w:noProof/>
                <w:szCs w:val="20"/>
              </w:rPr>
              <w:drawing>
                <wp:inline distT="0" distB="0" distL="0" distR="0" wp14:anchorId="219F1BBE" wp14:editId="6FF80A68">
                  <wp:extent cx="133333" cy="133333"/>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3333" cy="133333"/>
                          </a:xfrm>
                          <a:prstGeom prst="rect">
                            <a:avLst/>
                          </a:prstGeom>
                        </pic:spPr>
                      </pic:pic>
                    </a:graphicData>
                  </a:graphic>
                </wp:inline>
              </w:drawing>
            </w:r>
            <w:r w:rsidR="00057EE4" w:rsidRPr="00057EE4">
              <w:rPr>
                <w:i/>
                <w:iCs/>
                <w:szCs w:val="20"/>
              </w:rPr>
              <w:t xml:space="preserve"> Search &amp; Filter (</w:t>
            </w:r>
            <w:r w:rsidR="00711E1A">
              <w:rPr>
                <w:i/>
                <w:iCs/>
                <w:szCs w:val="20"/>
              </w:rPr>
              <w:t>offers to approve</w:t>
            </w:r>
            <w:r w:rsidR="00057EE4" w:rsidRPr="00057EE4">
              <w:rPr>
                <w:i/>
                <w:iCs/>
                <w:szCs w:val="20"/>
              </w:rPr>
              <w:t xml:space="preserve">) link at the top of your screen for additional search/filter options. </w:t>
            </w:r>
          </w:p>
        </w:tc>
      </w:tr>
    </w:tbl>
    <w:p w14:paraId="1CCA3FD4" w14:textId="77777777" w:rsidR="007468A0" w:rsidRDefault="007468A0" w:rsidP="007468A0">
      <w:pPr>
        <w:sectPr w:rsidR="007468A0" w:rsidSect="00BE1EE1">
          <w:headerReference w:type="default" r:id="rId14"/>
          <w:footerReference w:type="default" r:id="rId15"/>
          <w:type w:val="continuous"/>
          <w:pgSz w:w="12240" w:h="15840" w:code="1"/>
          <w:pgMar w:top="1440" w:right="1440" w:bottom="1440" w:left="1440" w:header="288" w:footer="432" w:gutter="0"/>
          <w:cols w:space="720"/>
          <w:docGrid w:linePitch="360"/>
        </w:sectPr>
      </w:pPr>
    </w:p>
    <w:p w14:paraId="60692E8D" w14:textId="2F00FAAB" w:rsidR="00812C79" w:rsidRDefault="00812C79" w:rsidP="006C4B08">
      <w:pPr>
        <w:pStyle w:val="Heading3"/>
      </w:pPr>
      <w:r>
        <w:t>To view</w:t>
      </w:r>
      <w:r w:rsidR="001E2394">
        <w:t>/adjust</w:t>
      </w:r>
      <w:r>
        <w:t xml:space="preserve"> the assignment</w:t>
      </w:r>
      <w:r w:rsidR="00FA70F2">
        <w:t xml:space="preserve"> record</w:t>
      </w:r>
      <w:r w:rsidR="00F133FF">
        <w:t xml:space="preserve"> (non-contractual</w:t>
      </w:r>
      <w:r w:rsidR="00A728FD">
        <w:t xml:space="preserve"> information fields</w:t>
      </w:r>
      <w:r w:rsidR="00F133FF">
        <w:t>)</w:t>
      </w:r>
      <w:r>
        <w:t>:</w:t>
      </w:r>
    </w:p>
    <w:p w14:paraId="1231585D" w14:textId="77777777" w:rsidR="00812C79" w:rsidRDefault="00812C79" w:rsidP="006C4B08">
      <w:pPr>
        <w:numPr>
          <w:ilvl w:val="0"/>
          <w:numId w:val="22"/>
        </w:numPr>
        <w:tabs>
          <w:tab w:val="left" w:pos="40"/>
        </w:tabs>
        <w:spacing w:after="0" w:line="276" w:lineRule="auto"/>
        <w:rPr>
          <w:szCs w:val="20"/>
        </w:rPr>
      </w:pPr>
      <w:r>
        <w:rPr>
          <w:szCs w:val="20"/>
        </w:rPr>
        <w:t>Verify that the selection option in the Work Order Actions column is “view assignment”.</w:t>
      </w:r>
    </w:p>
    <w:p w14:paraId="104B15BA" w14:textId="68002B65" w:rsidR="00812C79" w:rsidRDefault="00812C79" w:rsidP="006C4B08">
      <w:pPr>
        <w:numPr>
          <w:ilvl w:val="0"/>
          <w:numId w:val="22"/>
        </w:numPr>
        <w:tabs>
          <w:tab w:val="left" w:pos="40"/>
        </w:tabs>
        <w:spacing w:after="0" w:line="276" w:lineRule="auto"/>
        <w:rPr>
          <w:szCs w:val="20"/>
        </w:rPr>
      </w:pPr>
      <w:r>
        <w:rPr>
          <w:szCs w:val="20"/>
        </w:rPr>
        <w:t xml:space="preserve">Click the GO arrow </w:t>
      </w:r>
      <w:r>
        <w:rPr>
          <w:noProof/>
        </w:rPr>
        <w:drawing>
          <wp:inline distT="0" distB="0" distL="0" distR="0" wp14:anchorId="1DB79777" wp14:editId="273A6CC6">
            <wp:extent cx="133333" cy="13333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3333" cy="133333"/>
                    </a:xfrm>
                    <a:prstGeom prst="rect">
                      <a:avLst/>
                    </a:prstGeom>
                  </pic:spPr>
                </pic:pic>
              </a:graphicData>
            </a:graphic>
          </wp:inline>
        </w:drawing>
      </w:r>
      <w:r>
        <w:rPr>
          <w:szCs w:val="20"/>
        </w:rPr>
        <w:t xml:space="preserve"> to view the assignment record. The assignment record opens on the Assignment Management Summary tab</w:t>
      </w:r>
      <w:r w:rsidR="007468A0">
        <w:rPr>
          <w:szCs w:val="20"/>
        </w:rPr>
        <w:t xml:space="preserve"> (final tab)</w:t>
      </w:r>
      <w:r>
        <w:rPr>
          <w:szCs w:val="20"/>
        </w:rPr>
        <w:t>.</w:t>
      </w:r>
    </w:p>
    <w:p w14:paraId="770C80B7" w14:textId="2CB63F85" w:rsidR="00812C79" w:rsidRDefault="00812C79" w:rsidP="006C4B08">
      <w:pPr>
        <w:numPr>
          <w:ilvl w:val="0"/>
          <w:numId w:val="22"/>
        </w:numPr>
        <w:tabs>
          <w:tab w:val="left" w:pos="40"/>
        </w:tabs>
        <w:spacing w:after="0" w:line="276" w:lineRule="auto"/>
        <w:rPr>
          <w:szCs w:val="20"/>
        </w:rPr>
      </w:pPr>
      <w:r>
        <w:rPr>
          <w:szCs w:val="20"/>
        </w:rPr>
        <w:t xml:space="preserve">Click </w:t>
      </w:r>
      <w:r w:rsidR="00FA70F2">
        <w:rPr>
          <w:szCs w:val="20"/>
        </w:rPr>
        <w:t>any</w:t>
      </w:r>
      <w:r>
        <w:rPr>
          <w:szCs w:val="20"/>
        </w:rPr>
        <w:t xml:space="preserve"> section tab to go directly to a specific tab or use the Next/Previous </w:t>
      </w:r>
      <w:r w:rsidR="00FA70F2">
        <w:rPr>
          <w:szCs w:val="20"/>
        </w:rPr>
        <w:t>buttons</w:t>
      </w:r>
      <w:r>
        <w:rPr>
          <w:szCs w:val="20"/>
        </w:rPr>
        <w:t xml:space="preserve"> at the bottom of the screen</w:t>
      </w:r>
      <w:r w:rsidR="00FA70F2">
        <w:rPr>
          <w:szCs w:val="20"/>
        </w:rPr>
        <w:t>.</w:t>
      </w:r>
    </w:p>
    <w:p w14:paraId="66AFA95B" w14:textId="40F54831" w:rsidR="00FA70F2" w:rsidRDefault="00FA70F2" w:rsidP="006C4B08">
      <w:pPr>
        <w:numPr>
          <w:ilvl w:val="0"/>
          <w:numId w:val="22"/>
        </w:numPr>
        <w:tabs>
          <w:tab w:val="left" w:pos="40"/>
        </w:tabs>
        <w:spacing w:after="0" w:line="276" w:lineRule="auto"/>
        <w:rPr>
          <w:szCs w:val="20"/>
        </w:rPr>
      </w:pPr>
      <w:r>
        <w:rPr>
          <w:szCs w:val="20"/>
        </w:rPr>
        <w:t>Contact the CAM (Client Account Manager)</w:t>
      </w:r>
      <w:r w:rsidR="007468A0">
        <w:rPr>
          <w:szCs w:val="20"/>
        </w:rPr>
        <w:t xml:space="preserve"> or Hiring Manager</w:t>
      </w:r>
      <w:r>
        <w:rPr>
          <w:szCs w:val="20"/>
        </w:rPr>
        <w:t xml:space="preserve"> if adjustments are needed to “read only” content.</w:t>
      </w:r>
    </w:p>
    <w:p w14:paraId="420179C5" w14:textId="64170FFE" w:rsidR="00FA70F2" w:rsidRDefault="001E2394" w:rsidP="006C4B08">
      <w:pPr>
        <w:numPr>
          <w:ilvl w:val="0"/>
          <w:numId w:val="22"/>
        </w:numPr>
        <w:tabs>
          <w:tab w:val="left" w:pos="40"/>
        </w:tabs>
        <w:spacing w:after="0" w:line="276" w:lineRule="auto"/>
        <w:rPr>
          <w:szCs w:val="20"/>
        </w:rPr>
      </w:pPr>
      <w:r>
        <w:rPr>
          <w:szCs w:val="20"/>
        </w:rPr>
        <w:t xml:space="preserve">Update </w:t>
      </w:r>
      <w:r w:rsidR="00FA70F2">
        <w:rPr>
          <w:szCs w:val="20"/>
        </w:rPr>
        <w:t xml:space="preserve">the General Supplier Organization tab </w:t>
      </w:r>
      <w:r>
        <w:rPr>
          <w:szCs w:val="20"/>
        </w:rPr>
        <w:t>if adjustments are needed for:</w:t>
      </w:r>
    </w:p>
    <w:p w14:paraId="63CD601C" w14:textId="362DF117" w:rsidR="001E2394" w:rsidRDefault="001E2394" w:rsidP="006C4B08">
      <w:pPr>
        <w:numPr>
          <w:ilvl w:val="1"/>
          <w:numId w:val="22"/>
        </w:numPr>
        <w:tabs>
          <w:tab w:val="left" w:pos="40"/>
        </w:tabs>
        <w:spacing w:after="0" w:line="276" w:lineRule="auto"/>
        <w:rPr>
          <w:szCs w:val="20"/>
        </w:rPr>
      </w:pPr>
      <w:r>
        <w:rPr>
          <w:szCs w:val="20"/>
        </w:rPr>
        <w:t>Managing Supplier Agent</w:t>
      </w:r>
    </w:p>
    <w:p w14:paraId="1B86BFA6" w14:textId="420B1695" w:rsidR="001E2394" w:rsidRDefault="001E2394" w:rsidP="006C4B08">
      <w:pPr>
        <w:numPr>
          <w:ilvl w:val="1"/>
          <w:numId w:val="22"/>
        </w:numPr>
        <w:tabs>
          <w:tab w:val="left" w:pos="40"/>
        </w:tabs>
        <w:spacing w:after="0" w:line="276" w:lineRule="auto"/>
        <w:rPr>
          <w:szCs w:val="20"/>
        </w:rPr>
      </w:pPr>
      <w:r>
        <w:rPr>
          <w:szCs w:val="20"/>
        </w:rPr>
        <w:t>Supplier Accounting Representative</w:t>
      </w:r>
    </w:p>
    <w:p w14:paraId="3E6E284C" w14:textId="06438FC1" w:rsidR="001E2394" w:rsidRDefault="001E2394" w:rsidP="006C4B08">
      <w:pPr>
        <w:numPr>
          <w:ilvl w:val="1"/>
          <w:numId w:val="22"/>
        </w:numPr>
        <w:tabs>
          <w:tab w:val="left" w:pos="40"/>
        </w:tabs>
        <w:spacing w:after="0" w:line="276" w:lineRule="auto"/>
        <w:rPr>
          <w:szCs w:val="20"/>
        </w:rPr>
      </w:pPr>
      <w:r>
        <w:rPr>
          <w:szCs w:val="20"/>
        </w:rPr>
        <w:t>Supplier Organization Resource ID (</w:t>
      </w:r>
      <w:r w:rsidRPr="001E2394">
        <w:rPr>
          <w:szCs w:val="20"/>
        </w:rPr>
        <w:t>used to track a supplier’s unique identifier for reporting purposes</w:t>
      </w:r>
      <w:r>
        <w:rPr>
          <w:szCs w:val="20"/>
        </w:rPr>
        <w:t>).</w:t>
      </w:r>
    </w:p>
    <w:p w14:paraId="68EE9655" w14:textId="1A91763A" w:rsidR="001E2394" w:rsidRDefault="001E2394" w:rsidP="006C4B08">
      <w:pPr>
        <w:numPr>
          <w:ilvl w:val="1"/>
          <w:numId w:val="22"/>
        </w:numPr>
        <w:tabs>
          <w:tab w:val="left" w:pos="40"/>
        </w:tabs>
        <w:spacing w:after="0" w:line="276" w:lineRule="auto"/>
        <w:rPr>
          <w:szCs w:val="20"/>
        </w:rPr>
      </w:pPr>
      <w:r>
        <w:rPr>
          <w:szCs w:val="20"/>
        </w:rPr>
        <w:t>Resource Email</w:t>
      </w:r>
    </w:p>
    <w:p w14:paraId="59713F53" w14:textId="04B559D9" w:rsidR="001E2394" w:rsidRDefault="001E2394" w:rsidP="006C4B08">
      <w:pPr>
        <w:numPr>
          <w:ilvl w:val="0"/>
          <w:numId w:val="22"/>
        </w:numPr>
        <w:tabs>
          <w:tab w:val="left" w:pos="40"/>
        </w:tabs>
        <w:spacing w:after="0" w:line="276" w:lineRule="auto"/>
        <w:rPr>
          <w:szCs w:val="20"/>
        </w:rPr>
      </w:pPr>
      <w:r>
        <w:rPr>
          <w:szCs w:val="20"/>
        </w:rPr>
        <w:t>Update the Onboarding Checklist tab to include the Contractor’s email address and any status updates to the checklist activities.</w:t>
      </w:r>
    </w:p>
    <w:p w14:paraId="3C449BD8" w14:textId="61B26331" w:rsidR="001E2394" w:rsidRDefault="001E2394" w:rsidP="006C4B08">
      <w:pPr>
        <w:numPr>
          <w:ilvl w:val="0"/>
          <w:numId w:val="22"/>
        </w:numPr>
        <w:tabs>
          <w:tab w:val="left" w:pos="40"/>
        </w:tabs>
        <w:spacing w:after="0" w:line="276" w:lineRule="auto"/>
        <w:rPr>
          <w:szCs w:val="20"/>
        </w:rPr>
      </w:pPr>
      <w:r>
        <w:rPr>
          <w:szCs w:val="20"/>
        </w:rPr>
        <w:t xml:space="preserve">Click </w:t>
      </w:r>
      <w:r w:rsidR="006C4B08">
        <w:rPr>
          <w:szCs w:val="20"/>
        </w:rPr>
        <w:t xml:space="preserve">the </w:t>
      </w:r>
      <w:r>
        <w:rPr>
          <w:szCs w:val="20"/>
        </w:rPr>
        <w:t>Save</w:t>
      </w:r>
      <w:r w:rsidR="006C4B08">
        <w:rPr>
          <w:szCs w:val="20"/>
        </w:rPr>
        <w:t xml:space="preserve"> button</w:t>
      </w:r>
      <w:r>
        <w:rPr>
          <w:szCs w:val="20"/>
        </w:rPr>
        <w:t xml:space="preserve"> (</w:t>
      </w:r>
      <w:r>
        <w:rPr>
          <w:noProof/>
        </w:rPr>
        <w:drawing>
          <wp:inline distT="0" distB="0" distL="0" distR="0" wp14:anchorId="030E9BB6" wp14:editId="62783AF4">
            <wp:extent cx="476190" cy="200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6190" cy="200000"/>
                    </a:xfrm>
                    <a:prstGeom prst="rect">
                      <a:avLst/>
                    </a:prstGeom>
                  </pic:spPr>
                </pic:pic>
              </a:graphicData>
            </a:graphic>
          </wp:inline>
        </w:drawing>
      </w:r>
      <w:r>
        <w:rPr>
          <w:szCs w:val="20"/>
        </w:rPr>
        <w:t xml:space="preserve">) on the Assignment Management Summary tab if you made </w:t>
      </w:r>
      <w:r w:rsidR="006C4B08">
        <w:rPr>
          <w:szCs w:val="20"/>
        </w:rPr>
        <w:t>ANY changes/adjustments on ANY tab. This is the only “save” option for the assignment record.</w:t>
      </w:r>
    </w:p>
    <w:p w14:paraId="1394438B" w14:textId="4F4F535D" w:rsidR="006C4B08" w:rsidRDefault="006C4B08" w:rsidP="006C4B08">
      <w:pPr>
        <w:numPr>
          <w:ilvl w:val="0"/>
          <w:numId w:val="22"/>
        </w:numPr>
        <w:tabs>
          <w:tab w:val="left" w:pos="40"/>
        </w:tabs>
        <w:spacing w:after="0" w:line="276" w:lineRule="auto"/>
        <w:rPr>
          <w:szCs w:val="20"/>
        </w:rPr>
      </w:pPr>
      <w:r>
        <w:rPr>
          <w:szCs w:val="20"/>
        </w:rPr>
        <w:t>Click the return to list button (</w:t>
      </w:r>
      <w:r>
        <w:rPr>
          <w:noProof/>
        </w:rPr>
        <w:drawing>
          <wp:inline distT="0" distB="0" distL="0" distR="0" wp14:anchorId="30B16042" wp14:editId="1FC68371">
            <wp:extent cx="838095" cy="171429"/>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8095" cy="171429"/>
                    </a:xfrm>
                    <a:prstGeom prst="rect">
                      <a:avLst/>
                    </a:prstGeom>
                  </pic:spPr>
                </pic:pic>
              </a:graphicData>
            </a:graphic>
          </wp:inline>
        </w:drawing>
      </w:r>
      <w:r>
        <w:rPr>
          <w:szCs w:val="20"/>
        </w:rPr>
        <w:t>) to exit the assignment record and go back to the Offers to Approve list.</w:t>
      </w:r>
    </w:p>
    <w:p w14:paraId="29330172" w14:textId="77777777" w:rsidR="006C4B08" w:rsidRDefault="006C4B08" w:rsidP="006C4B08">
      <w:pPr>
        <w:tabs>
          <w:tab w:val="left" w:pos="40"/>
        </w:tabs>
        <w:spacing w:after="0" w:line="360" w:lineRule="auto"/>
        <w:ind w:left="360"/>
        <w:rPr>
          <w:szCs w:val="20"/>
        </w:rPr>
        <w:sectPr w:rsidR="006C4B08" w:rsidSect="00BE1EE1">
          <w:type w:val="continuous"/>
          <w:pgSz w:w="12240" w:h="15840" w:code="1"/>
          <w:pgMar w:top="1440" w:right="1440" w:bottom="1440" w:left="1440" w:header="288" w:footer="432" w:gutter="0"/>
          <w:cols w:space="720"/>
          <w:docGrid w:linePitch="360"/>
        </w:sectPr>
      </w:pPr>
    </w:p>
    <w:p w14:paraId="313E0142" w14:textId="65F32463" w:rsidR="006C4B08" w:rsidRDefault="006C4B08" w:rsidP="006C4B08">
      <w:pPr>
        <w:pStyle w:val="Heading3"/>
      </w:pPr>
      <w:r>
        <w:lastRenderedPageBreak/>
        <w:t xml:space="preserve">To view the </w:t>
      </w:r>
      <w:r w:rsidR="00F133FF">
        <w:t>Work Order</w:t>
      </w:r>
      <w:r w:rsidR="009C1C05">
        <w:t xml:space="preserve"> (contractual </w:t>
      </w:r>
      <w:r w:rsidR="00A728FD">
        <w:t>terms</w:t>
      </w:r>
      <w:r w:rsidR="009C1C05">
        <w:t>)</w:t>
      </w:r>
      <w:r>
        <w:t>:</w:t>
      </w:r>
    </w:p>
    <w:p w14:paraId="63DA02C9" w14:textId="3474D6AE" w:rsidR="006C4B08" w:rsidRDefault="006C4B08" w:rsidP="00751B6A">
      <w:pPr>
        <w:numPr>
          <w:ilvl w:val="0"/>
          <w:numId w:val="23"/>
        </w:numPr>
        <w:tabs>
          <w:tab w:val="left" w:pos="40"/>
        </w:tabs>
        <w:spacing w:after="0" w:line="276" w:lineRule="auto"/>
        <w:rPr>
          <w:szCs w:val="20"/>
        </w:rPr>
      </w:pPr>
      <w:r>
        <w:rPr>
          <w:szCs w:val="20"/>
        </w:rPr>
        <w:t xml:space="preserve">Click the number link in the Work Order / Effective Amend. # </w:t>
      </w:r>
      <w:proofErr w:type="gramStart"/>
      <w:r>
        <w:rPr>
          <w:szCs w:val="20"/>
        </w:rPr>
        <w:t>column</w:t>
      </w:r>
      <w:proofErr w:type="gramEnd"/>
      <w:r>
        <w:rPr>
          <w:szCs w:val="20"/>
        </w:rPr>
        <w:t xml:space="preserve"> for the position offer you want to review.</w:t>
      </w:r>
      <w:r w:rsidR="007468A0">
        <w:rPr>
          <w:szCs w:val="20"/>
        </w:rPr>
        <w:t xml:space="preserve"> The Offer record opens on the Position and Resource Detail tab (first tab).</w:t>
      </w:r>
    </w:p>
    <w:p w14:paraId="667BE08B" w14:textId="77777777" w:rsidR="007468A0" w:rsidRDefault="007468A0" w:rsidP="00751B6A">
      <w:pPr>
        <w:numPr>
          <w:ilvl w:val="0"/>
          <w:numId w:val="23"/>
        </w:numPr>
        <w:tabs>
          <w:tab w:val="left" w:pos="40"/>
        </w:tabs>
        <w:spacing w:after="0" w:line="276" w:lineRule="auto"/>
        <w:rPr>
          <w:szCs w:val="20"/>
        </w:rPr>
      </w:pPr>
      <w:r>
        <w:rPr>
          <w:szCs w:val="20"/>
        </w:rPr>
        <w:t>Click any section tab to go directly to a specific tab or use the Next/Previous buttons at the bottom of the screen.</w:t>
      </w:r>
    </w:p>
    <w:p w14:paraId="015CA390" w14:textId="57190D50" w:rsidR="007468A0" w:rsidRDefault="007468A0" w:rsidP="00751B6A">
      <w:pPr>
        <w:numPr>
          <w:ilvl w:val="0"/>
          <w:numId w:val="23"/>
        </w:numPr>
        <w:tabs>
          <w:tab w:val="left" w:pos="40"/>
        </w:tabs>
        <w:spacing w:after="0" w:line="276" w:lineRule="auto"/>
        <w:rPr>
          <w:szCs w:val="20"/>
        </w:rPr>
      </w:pPr>
      <w:r>
        <w:rPr>
          <w:szCs w:val="20"/>
        </w:rPr>
        <w:t>Contact the CAM (Client Account Manager) or Hiring Manager if adjustments are needed to “read only” content.</w:t>
      </w:r>
    </w:p>
    <w:p w14:paraId="77209FDC" w14:textId="4D2C8903" w:rsidR="007468A0" w:rsidRDefault="007468A0" w:rsidP="00D73BA2">
      <w:pPr>
        <w:numPr>
          <w:ilvl w:val="0"/>
          <w:numId w:val="23"/>
        </w:numPr>
        <w:tabs>
          <w:tab w:val="left" w:pos="40"/>
        </w:tabs>
        <w:spacing w:after="0" w:line="276" w:lineRule="auto"/>
        <w:rPr>
          <w:szCs w:val="20"/>
        </w:rPr>
      </w:pPr>
      <w:r>
        <w:rPr>
          <w:szCs w:val="20"/>
        </w:rPr>
        <w:t xml:space="preserve">Select an “Is Taxable?” value on the Position and Resource Detail tab if the field is blank. This is a required field as noted by the </w:t>
      </w:r>
      <w:r w:rsidRPr="007468A0">
        <w:rPr>
          <w:color w:val="C00000"/>
          <w:szCs w:val="20"/>
        </w:rPr>
        <w:t xml:space="preserve">red asterisk </w:t>
      </w:r>
      <w:r>
        <w:rPr>
          <w:szCs w:val="20"/>
        </w:rPr>
        <w:t>(</w:t>
      </w:r>
      <w:r w:rsidRPr="007468A0">
        <w:rPr>
          <w:color w:val="C00000"/>
          <w:szCs w:val="20"/>
        </w:rPr>
        <w:t>*</w:t>
      </w:r>
      <w:r>
        <w:rPr>
          <w:szCs w:val="20"/>
        </w:rPr>
        <w:t>).</w:t>
      </w:r>
      <w:r w:rsidR="00751B6A">
        <w:rPr>
          <w:szCs w:val="20"/>
        </w:rPr>
        <w:t xml:space="preserve"> (Your selection save</w:t>
      </w:r>
      <w:r w:rsidR="009B1438">
        <w:rPr>
          <w:szCs w:val="20"/>
        </w:rPr>
        <w:t>s</w:t>
      </w:r>
      <w:r w:rsidR="00751B6A">
        <w:rPr>
          <w:szCs w:val="20"/>
        </w:rPr>
        <w:t xml:space="preserve"> based on the Work Order Action</w:t>
      </w:r>
      <w:r w:rsidR="009B1438">
        <w:rPr>
          <w:szCs w:val="20"/>
        </w:rPr>
        <w:t>s</w:t>
      </w:r>
      <w:r w:rsidR="00751B6A">
        <w:rPr>
          <w:szCs w:val="20"/>
        </w:rPr>
        <w:t xml:space="preserve"> select</w:t>
      </w:r>
      <w:r w:rsidR="009B1438">
        <w:rPr>
          <w:szCs w:val="20"/>
        </w:rPr>
        <w:t>ion you pick</w:t>
      </w:r>
      <w:r w:rsidR="00751B6A">
        <w:rPr>
          <w:szCs w:val="20"/>
        </w:rPr>
        <w:t xml:space="preserve"> on the Work Order Summary tab.)</w:t>
      </w:r>
      <w:r w:rsidR="00D73BA2">
        <w:rPr>
          <w:szCs w:val="20"/>
        </w:rPr>
        <w:br/>
      </w:r>
      <w:r w:rsidR="00D73BA2" w:rsidRPr="00D73BA2">
        <w:rPr>
          <w:b/>
          <w:bCs/>
          <w:szCs w:val="20"/>
        </w:rPr>
        <w:t>PLEASE NOTE</w:t>
      </w:r>
      <w:r w:rsidR="00D73BA2">
        <w:rPr>
          <w:szCs w:val="20"/>
        </w:rPr>
        <w:t>: The “</w:t>
      </w:r>
      <w:r w:rsidR="00D73BA2" w:rsidRPr="00D73BA2">
        <w:rPr>
          <w:szCs w:val="20"/>
        </w:rPr>
        <w:t>Is Taxable</w:t>
      </w:r>
      <w:r w:rsidR="00D73BA2">
        <w:rPr>
          <w:szCs w:val="20"/>
        </w:rPr>
        <w:t>?”</w:t>
      </w:r>
      <w:r w:rsidR="00D73BA2" w:rsidRPr="00D73BA2">
        <w:rPr>
          <w:szCs w:val="20"/>
        </w:rPr>
        <w:t xml:space="preserve"> selection is only available for </w:t>
      </w:r>
      <w:r w:rsidR="00D73BA2">
        <w:rPr>
          <w:szCs w:val="20"/>
        </w:rPr>
        <w:t>organizations</w:t>
      </w:r>
      <w:r w:rsidR="00D73BA2" w:rsidRPr="00D73BA2">
        <w:rPr>
          <w:szCs w:val="20"/>
        </w:rPr>
        <w:t xml:space="preserve"> where US Sales Tax is configured. It does not apply if not configured for the US</w:t>
      </w:r>
      <w:r w:rsidR="00D73BA2">
        <w:rPr>
          <w:szCs w:val="20"/>
        </w:rPr>
        <w:t xml:space="preserve">. Check with your Program Office about enabling other </w:t>
      </w:r>
      <w:r w:rsidR="00D73BA2" w:rsidRPr="00D73BA2">
        <w:rPr>
          <w:szCs w:val="20"/>
        </w:rPr>
        <w:t>front office tax rules</w:t>
      </w:r>
      <w:r w:rsidR="00D73BA2">
        <w:rPr>
          <w:szCs w:val="20"/>
        </w:rPr>
        <w:t>.</w:t>
      </w:r>
      <w:r w:rsidR="00D73BA2" w:rsidRPr="00D73BA2">
        <w:rPr>
          <w:szCs w:val="20"/>
        </w:rPr>
        <w:t xml:space="preserve"> </w:t>
      </w:r>
      <w:r w:rsidR="00D73BA2">
        <w:rPr>
          <w:szCs w:val="20"/>
        </w:rPr>
        <w:t>T</w:t>
      </w:r>
      <w:r w:rsidR="00D73BA2" w:rsidRPr="00D73BA2">
        <w:rPr>
          <w:szCs w:val="20"/>
        </w:rPr>
        <w:t>ypically</w:t>
      </w:r>
      <w:r w:rsidR="00D73BA2">
        <w:rPr>
          <w:szCs w:val="20"/>
        </w:rPr>
        <w:t>,</w:t>
      </w:r>
      <w:r w:rsidR="00D73BA2" w:rsidRPr="00D73BA2">
        <w:rPr>
          <w:szCs w:val="20"/>
        </w:rPr>
        <w:t xml:space="preserve"> this </w:t>
      </w:r>
      <w:r w:rsidR="00D73BA2">
        <w:rPr>
          <w:szCs w:val="20"/>
        </w:rPr>
        <w:t>is for</w:t>
      </w:r>
      <w:r w:rsidR="00D73BA2" w:rsidRPr="00D73BA2">
        <w:rPr>
          <w:szCs w:val="20"/>
        </w:rPr>
        <w:t xml:space="preserve"> other countries or regions, like India, Canada, etc. where the supplier must select the tax rule they want to apply. It is not a Yes/no selection</w:t>
      </w:r>
      <w:r w:rsidR="00D73BA2">
        <w:rPr>
          <w:szCs w:val="20"/>
        </w:rPr>
        <w:t>.</w:t>
      </w:r>
    </w:p>
    <w:p w14:paraId="514A2454" w14:textId="36DF4148" w:rsidR="009B1438" w:rsidRDefault="009B1438" w:rsidP="00751B6A">
      <w:pPr>
        <w:numPr>
          <w:ilvl w:val="0"/>
          <w:numId w:val="23"/>
        </w:numPr>
        <w:tabs>
          <w:tab w:val="left" w:pos="40"/>
        </w:tabs>
        <w:spacing w:after="0" w:line="276" w:lineRule="auto"/>
        <w:rPr>
          <w:szCs w:val="20"/>
        </w:rPr>
      </w:pPr>
      <w:r>
        <w:rPr>
          <w:szCs w:val="20"/>
        </w:rPr>
        <w:t>Continue to the next section.</w:t>
      </w:r>
    </w:p>
    <w:p w14:paraId="673253E0" w14:textId="77777777" w:rsidR="00751B6A" w:rsidRDefault="00751B6A" w:rsidP="00751B6A">
      <w:pPr>
        <w:tabs>
          <w:tab w:val="left" w:pos="40"/>
        </w:tabs>
        <w:spacing w:after="0" w:line="360" w:lineRule="auto"/>
        <w:ind w:left="360"/>
        <w:rPr>
          <w:szCs w:val="20"/>
        </w:rPr>
        <w:sectPr w:rsidR="00751B6A" w:rsidSect="00BE1EE1">
          <w:type w:val="continuous"/>
          <w:pgSz w:w="12240" w:h="15840" w:code="1"/>
          <w:pgMar w:top="1440" w:right="1440" w:bottom="1440" w:left="1440" w:header="288" w:footer="432" w:gutter="0"/>
          <w:cols w:space="720"/>
          <w:docGrid w:linePitch="360"/>
        </w:sectPr>
      </w:pPr>
    </w:p>
    <w:p w14:paraId="717F2921" w14:textId="36C2B8A5" w:rsidR="00751B6A" w:rsidRDefault="00751B6A" w:rsidP="00751B6A">
      <w:pPr>
        <w:tabs>
          <w:tab w:val="left" w:pos="40"/>
        </w:tabs>
        <w:spacing w:after="0" w:line="360" w:lineRule="auto"/>
        <w:ind w:left="360"/>
        <w:rPr>
          <w:szCs w:val="20"/>
        </w:rPr>
      </w:pPr>
    </w:p>
    <w:p w14:paraId="32EA6A8A" w14:textId="5D024DEC" w:rsidR="00812C79" w:rsidRDefault="009B1438" w:rsidP="009B1438">
      <w:pPr>
        <w:pStyle w:val="Heading3"/>
      </w:pPr>
      <w:r>
        <w:t>To approve or reject the offer</w:t>
      </w:r>
      <w:r w:rsidR="00FA6D0A">
        <w:t xml:space="preserve"> (</w:t>
      </w:r>
      <w:r w:rsidR="002A2C75">
        <w:t>including</w:t>
      </w:r>
      <w:r w:rsidR="00FA6D0A">
        <w:t xml:space="preserve"> review)</w:t>
      </w:r>
      <w:r>
        <w:t>:</w:t>
      </w:r>
    </w:p>
    <w:p w14:paraId="687E3E68" w14:textId="60992985" w:rsidR="009B1438" w:rsidRDefault="009B1438" w:rsidP="005247A9">
      <w:pPr>
        <w:numPr>
          <w:ilvl w:val="0"/>
          <w:numId w:val="24"/>
        </w:numPr>
        <w:spacing w:after="0" w:line="276" w:lineRule="auto"/>
        <w:ind w:left="1080"/>
      </w:pPr>
      <w:r>
        <w:t>Go to the Work Order Summary tab of the position offer (see section above for details.)</w:t>
      </w:r>
    </w:p>
    <w:p w14:paraId="6EDAB625" w14:textId="1308550F" w:rsidR="009B1438" w:rsidRDefault="009B1438" w:rsidP="005247A9">
      <w:pPr>
        <w:numPr>
          <w:ilvl w:val="0"/>
          <w:numId w:val="24"/>
        </w:numPr>
        <w:spacing w:after="0" w:line="276" w:lineRule="auto"/>
        <w:ind w:left="1080"/>
      </w:pPr>
      <w:r>
        <w:t xml:space="preserve">Review the </w:t>
      </w:r>
      <w:r w:rsidR="005D7BB6">
        <w:t>Acceptance</w:t>
      </w:r>
      <w:r>
        <w:t xml:space="preserve"> Terms and Conditions statement at the top of the tab section.</w:t>
      </w:r>
    </w:p>
    <w:p w14:paraId="2D3E5913" w14:textId="10F8CDB1" w:rsidR="002653FC" w:rsidRPr="002653FC" w:rsidRDefault="002653FC" w:rsidP="005247A9">
      <w:pPr>
        <w:numPr>
          <w:ilvl w:val="0"/>
          <w:numId w:val="24"/>
        </w:numPr>
        <w:spacing w:after="0" w:line="276" w:lineRule="auto"/>
        <w:ind w:left="1080"/>
      </w:pPr>
      <w:r>
        <w:t xml:space="preserve">Verify there is an </w:t>
      </w:r>
      <w:r>
        <w:rPr>
          <w:szCs w:val="20"/>
        </w:rPr>
        <w:t xml:space="preserve">“Is Taxable?” selection on the Position and Resource Detail tab. This is a required field as noted by the </w:t>
      </w:r>
      <w:r w:rsidRPr="007468A0">
        <w:rPr>
          <w:color w:val="C00000"/>
          <w:szCs w:val="20"/>
        </w:rPr>
        <w:t xml:space="preserve">red asterisk </w:t>
      </w:r>
      <w:r>
        <w:rPr>
          <w:szCs w:val="20"/>
        </w:rPr>
        <w:t>(</w:t>
      </w:r>
      <w:r w:rsidRPr="007468A0">
        <w:rPr>
          <w:color w:val="C00000"/>
          <w:szCs w:val="20"/>
        </w:rPr>
        <w:t>*</w:t>
      </w:r>
      <w:r>
        <w:rPr>
          <w:szCs w:val="20"/>
        </w:rPr>
        <w:t>).</w:t>
      </w:r>
    </w:p>
    <w:p w14:paraId="3DD4D740" w14:textId="77777777" w:rsidR="002653FC" w:rsidRPr="002653FC" w:rsidRDefault="002653FC" w:rsidP="005247A9">
      <w:pPr>
        <w:numPr>
          <w:ilvl w:val="0"/>
          <w:numId w:val="24"/>
        </w:numPr>
        <w:spacing w:after="0" w:line="276" w:lineRule="auto"/>
        <w:ind w:left="1080"/>
      </w:pPr>
      <w:r>
        <w:rPr>
          <w:szCs w:val="20"/>
        </w:rPr>
        <w:t>Select one of the available Work Order Actions:</w:t>
      </w:r>
    </w:p>
    <w:p w14:paraId="76E4E227" w14:textId="77777777" w:rsidR="005247A9" w:rsidRPr="005247A9" w:rsidRDefault="002653FC" w:rsidP="005247A9">
      <w:pPr>
        <w:numPr>
          <w:ilvl w:val="1"/>
          <w:numId w:val="24"/>
        </w:numPr>
        <w:spacing w:before="120" w:after="0" w:line="276" w:lineRule="auto"/>
      </w:pPr>
      <w:r>
        <w:rPr>
          <w:szCs w:val="20"/>
        </w:rPr>
        <w:t xml:space="preserve">Click </w:t>
      </w:r>
      <w:r w:rsidRPr="002653FC">
        <w:rPr>
          <w:b/>
          <w:szCs w:val="20"/>
        </w:rPr>
        <w:t>approve</w:t>
      </w:r>
      <w:r>
        <w:rPr>
          <w:szCs w:val="20"/>
        </w:rPr>
        <w:t xml:space="preserve"> to accept the offer as stated.</w:t>
      </w:r>
      <w:r w:rsidR="003C1DC7">
        <w:rPr>
          <w:szCs w:val="20"/>
        </w:rPr>
        <w:t xml:space="preserve"> A dialog window </w:t>
      </w:r>
      <w:r w:rsidR="00574DF5">
        <w:rPr>
          <w:szCs w:val="20"/>
        </w:rPr>
        <w:t>opens</w:t>
      </w:r>
      <w:r w:rsidR="003C1DC7">
        <w:rPr>
          <w:szCs w:val="20"/>
        </w:rPr>
        <w:t xml:space="preserve"> requesting you confirm your “Is Taxable?” selection. </w:t>
      </w:r>
    </w:p>
    <w:p w14:paraId="779AF434" w14:textId="77777777" w:rsidR="005247A9" w:rsidRPr="005247A9" w:rsidRDefault="003C1DC7" w:rsidP="005247A9">
      <w:pPr>
        <w:numPr>
          <w:ilvl w:val="2"/>
          <w:numId w:val="24"/>
        </w:numPr>
        <w:spacing w:before="120" w:after="0" w:line="276" w:lineRule="auto"/>
      </w:pPr>
      <w:r>
        <w:rPr>
          <w:szCs w:val="20"/>
        </w:rPr>
        <w:t xml:space="preserve">Click </w:t>
      </w:r>
      <w:r w:rsidRPr="003C1DC7">
        <w:rPr>
          <w:b/>
          <w:szCs w:val="20"/>
        </w:rPr>
        <w:t>OK</w:t>
      </w:r>
      <w:r>
        <w:rPr>
          <w:szCs w:val="20"/>
        </w:rPr>
        <w:t xml:space="preserve"> to confirm</w:t>
      </w:r>
      <w:r w:rsidR="00574DF5">
        <w:rPr>
          <w:szCs w:val="20"/>
        </w:rPr>
        <w:t>. Enter the Resource email on the final confirmation screen</w:t>
      </w:r>
      <w:r w:rsidR="005247A9">
        <w:rPr>
          <w:szCs w:val="20"/>
        </w:rPr>
        <w:t>.</w:t>
      </w:r>
    </w:p>
    <w:p w14:paraId="4EBC3918" w14:textId="2DBD2303" w:rsidR="005247A9" w:rsidRPr="005247A9" w:rsidRDefault="005247A9" w:rsidP="005247A9">
      <w:pPr>
        <w:numPr>
          <w:ilvl w:val="2"/>
          <w:numId w:val="24"/>
        </w:numPr>
        <w:spacing w:after="0" w:line="276" w:lineRule="auto"/>
      </w:pPr>
      <w:r>
        <w:rPr>
          <w:szCs w:val="20"/>
        </w:rPr>
        <w:t>C</w:t>
      </w:r>
      <w:r w:rsidR="00574DF5">
        <w:rPr>
          <w:szCs w:val="20"/>
        </w:rPr>
        <w:t xml:space="preserve">lick </w:t>
      </w:r>
      <w:r w:rsidR="00574DF5" w:rsidRPr="00574DF5">
        <w:rPr>
          <w:b/>
          <w:szCs w:val="20"/>
        </w:rPr>
        <w:t>O</w:t>
      </w:r>
      <w:r w:rsidR="0040795A">
        <w:rPr>
          <w:b/>
          <w:szCs w:val="20"/>
        </w:rPr>
        <w:t>K</w:t>
      </w:r>
      <w:r>
        <w:rPr>
          <w:szCs w:val="20"/>
        </w:rPr>
        <w:t xml:space="preserve"> to confirm</w:t>
      </w:r>
      <w:r w:rsidR="00574DF5">
        <w:rPr>
          <w:szCs w:val="20"/>
        </w:rPr>
        <w:t xml:space="preserve">. </w:t>
      </w:r>
      <w:r w:rsidR="007049EE">
        <w:rPr>
          <w:szCs w:val="20"/>
        </w:rPr>
        <w:t xml:space="preserve">The screen refreshes </w:t>
      </w:r>
      <w:r>
        <w:rPr>
          <w:szCs w:val="20"/>
        </w:rPr>
        <w:t xml:space="preserve">back </w:t>
      </w:r>
      <w:r w:rsidR="007049EE">
        <w:rPr>
          <w:szCs w:val="20"/>
        </w:rPr>
        <w:t xml:space="preserve">to the Offers list </w:t>
      </w:r>
      <w:r>
        <w:rPr>
          <w:szCs w:val="20"/>
        </w:rPr>
        <w:t>and the</w:t>
      </w:r>
      <w:r w:rsidR="007049EE">
        <w:rPr>
          <w:szCs w:val="20"/>
        </w:rPr>
        <w:t xml:space="preserve"> Work Order Status </w:t>
      </w:r>
      <w:r>
        <w:rPr>
          <w:szCs w:val="20"/>
        </w:rPr>
        <w:t xml:space="preserve">updates to reflect </w:t>
      </w:r>
      <w:r w:rsidR="007049EE">
        <w:rPr>
          <w:szCs w:val="20"/>
        </w:rPr>
        <w:t>the approved offer.</w:t>
      </w:r>
    </w:p>
    <w:p w14:paraId="595ED873" w14:textId="77777777" w:rsidR="005247A9" w:rsidRPr="005247A9" w:rsidRDefault="005247A9" w:rsidP="005247A9">
      <w:pPr>
        <w:numPr>
          <w:ilvl w:val="2"/>
          <w:numId w:val="24"/>
        </w:numPr>
        <w:spacing w:after="0" w:line="276" w:lineRule="auto"/>
      </w:pPr>
      <w:proofErr w:type="gramStart"/>
      <w:r>
        <w:rPr>
          <w:szCs w:val="20"/>
        </w:rPr>
        <w:t>Or,</w:t>
      </w:r>
      <w:proofErr w:type="gramEnd"/>
      <w:r>
        <w:rPr>
          <w:szCs w:val="20"/>
        </w:rPr>
        <w:t xml:space="preserve"> c</w:t>
      </w:r>
      <w:r w:rsidR="00574DF5">
        <w:rPr>
          <w:szCs w:val="20"/>
        </w:rPr>
        <w:t>lick</w:t>
      </w:r>
      <w:r w:rsidR="003C1DC7">
        <w:rPr>
          <w:szCs w:val="20"/>
        </w:rPr>
        <w:t xml:space="preserve"> </w:t>
      </w:r>
      <w:r w:rsidR="003C1DC7" w:rsidRPr="003C1DC7">
        <w:rPr>
          <w:b/>
          <w:szCs w:val="20"/>
        </w:rPr>
        <w:t>Cancel</w:t>
      </w:r>
      <w:r w:rsidR="003C1DC7">
        <w:rPr>
          <w:szCs w:val="20"/>
        </w:rPr>
        <w:t xml:space="preserve"> to close the </w:t>
      </w:r>
      <w:r w:rsidR="00574DF5">
        <w:rPr>
          <w:szCs w:val="20"/>
        </w:rPr>
        <w:t xml:space="preserve">initial dialog </w:t>
      </w:r>
      <w:r w:rsidR="003C1DC7">
        <w:rPr>
          <w:szCs w:val="20"/>
        </w:rPr>
        <w:t>window</w:t>
      </w:r>
      <w:r>
        <w:rPr>
          <w:szCs w:val="20"/>
        </w:rPr>
        <w:t>.</w:t>
      </w:r>
    </w:p>
    <w:p w14:paraId="51A3498B" w14:textId="77777777" w:rsidR="005247A9" w:rsidRPr="005247A9" w:rsidRDefault="005247A9" w:rsidP="005247A9">
      <w:pPr>
        <w:numPr>
          <w:ilvl w:val="2"/>
          <w:numId w:val="24"/>
        </w:numPr>
        <w:spacing w:after="0" w:line="276" w:lineRule="auto"/>
      </w:pPr>
      <w:r>
        <w:rPr>
          <w:szCs w:val="20"/>
        </w:rPr>
        <w:t>G</w:t>
      </w:r>
      <w:r w:rsidR="00574DF5">
        <w:rPr>
          <w:szCs w:val="20"/>
        </w:rPr>
        <w:t>o back</w:t>
      </w:r>
      <w:r w:rsidR="003C1DC7">
        <w:rPr>
          <w:szCs w:val="20"/>
        </w:rPr>
        <w:t xml:space="preserve"> and </w:t>
      </w:r>
      <w:r w:rsidR="00574DF5">
        <w:rPr>
          <w:szCs w:val="20"/>
        </w:rPr>
        <w:t>adjust</w:t>
      </w:r>
      <w:r w:rsidR="003C1DC7">
        <w:rPr>
          <w:szCs w:val="20"/>
        </w:rPr>
        <w:t xml:space="preserve"> your </w:t>
      </w:r>
      <w:r w:rsidR="00574DF5">
        <w:rPr>
          <w:szCs w:val="20"/>
        </w:rPr>
        <w:t>“Is Taxable?” selection</w:t>
      </w:r>
      <w:r>
        <w:rPr>
          <w:szCs w:val="20"/>
        </w:rPr>
        <w:t>.</w:t>
      </w:r>
    </w:p>
    <w:p w14:paraId="33F7A9B6" w14:textId="21C09CBA" w:rsidR="002653FC" w:rsidRPr="002653FC" w:rsidRDefault="005247A9" w:rsidP="005247A9">
      <w:pPr>
        <w:numPr>
          <w:ilvl w:val="2"/>
          <w:numId w:val="24"/>
        </w:numPr>
        <w:spacing w:line="276" w:lineRule="auto"/>
      </w:pPr>
      <w:r>
        <w:rPr>
          <w:szCs w:val="20"/>
        </w:rPr>
        <w:t>Repeat the approval steps described in this section</w:t>
      </w:r>
      <w:r w:rsidR="007049EE">
        <w:rPr>
          <w:szCs w:val="20"/>
        </w:rPr>
        <w:t xml:space="preserve"> to continue</w:t>
      </w:r>
      <w:r w:rsidR="003C1DC7">
        <w:rPr>
          <w:szCs w:val="20"/>
        </w:rPr>
        <w:t>.</w:t>
      </w:r>
    </w:p>
    <w:p w14:paraId="732957F1" w14:textId="7EC466CF" w:rsidR="00574DF5" w:rsidRPr="00574DF5" w:rsidRDefault="002653FC" w:rsidP="005247A9">
      <w:pPr>
        <w:numPr>
          <w:ilvl w:val="1"/>
          <w:numId w:val="24"/>
        </w:numPr>
        <w:spacing w:after="0" w:line="276" w:lineRule="auto"/>
      </w:pPr>
      <w:r w:rsidRPr="00574DF5">
        <w:rPr>
          <w:szCs w:val="20"/>
        </w:rPr>
        <w:t xml:space="preserve">Click </w:t>
      </w:r>
      <w:r w:rsidRPr="00574DF5">
        <w:rPr>
          <w:b/>
          <w:szCs w:val="20"/>
        </w:rPr>
        <w:t>reject</w:t>
      </w:r>
      <w:r w:rsidRPr="00574DF5">
        <w:rPr>
          <w:szCs w:val="20"/>
        </w:rPr>
        <w:t xml:space="preserve"> to decline the offer. A dialog window </w:t>
      </w:r>
      <w:r w:rsidR="003C1DC7" w:rsidRPr="00574DF5">
        <w:rPr>
          <w:szCs w:val="20"/>
        </w:rPr>
        <w:t xml:space="preserve">opens. Use the checkboxes to indicate your reason(s) for </w:t>
      </w:r>
      <w:r w:rsidR="00574DF5" w:rsidRPr="00574DF5">
        <w:rPr>
          <w:szCs w:val="20"/>
        </w:rPr>
        <w:t>declining. (Multiple selections are permitted.) Use the Other Reason text field i</w:t>
      </w:r>
      <w:r w:rsidR="00574DF5">
        <w:rPr>
          <w:szCs w:val="20"/>
        </w:rPr>
        <w:t>f</w:t>
      </w:r>
      <w:r w:rsidR="00574DF5" w:rsidRPr="00574DF5">
        <w:rPr>
          <w:szCs w:val="20"/>
        </w:rPr>
        <w:t xml:space="preserve"> </w:t>
      </w:r>
      <w:r w:rsidR="00574DF5">
        <w:rPr>
          <w:szCs w:val="20"/>
        </w:rPr>
        <w:t xml:space="preserve">there is </w:t>
      </w:r>
      <w:r w:rsidR="00574DF5" w:rsidRPr="00574DF5">
        <w:rPr>
          <w:szCs w:val="20"/>
        </w:rPr>
        <w:t xml:space="preserve">no </w:t>
      </w:r>
      <w:r w:rsidR="003A1D1C">
        <w:rPr>
          <w:szCs w:val="20"/>
        </w:rPr>
        <w:t xml:space="preserve">reason </w:t>
      </w:r>
      <w:r w:rsidR="00574DF5">
        <w:rPr>
          <w:szCs w:val="20"/>
        </w:rPr>
        <w:t xml:space="preserve">match. Click </w:t>
      </w:r>
      <w:r w:rsidR="00574DF5" w:rsidRPr="00574DF5">
        <w:rPr>
          <w:b/>
          <w:szCs w:val="20"/>
        </w:rPr>
        <w:t>OK</w:t>
      </w:r>
      <w:r w:rsidR="00574DF5">
        <w:rPr>
          <w:szCs w:val="20"/>
        </w:rPr>
        <w:t xml:space="preserve"> to confirm and exit.</w:t>
      </w:r>
    </w:p>
    <w:p w14:paraId="710AC30A" w14:textId="53899A3C" w:rsidR="002653FC" w:rsidRPr="002653FC" w:rsidRDefault="0040795A" w:rsidP="005247A9">
      <w:pPr>
        <w:numPr>
          <w:ilvl w:val="1"/>
          <w:numId w:val="24"/>
        </w:numPr>
        <w:spacing w:after="0" w:line="276" w:lineRule="auto"/>
      </w:pPr>
      <w:r w:rsidRPr="0040795A">
        <w:rPr>
          <w:i/>
          <w:szCs w:val="20"/>
        </w:rPr>
        <w:t>Optional</w:t>
      </w:r>
      <w:r>
        <w:rPr>
          <w:szCs w:val="20"/>
        </w:rPr>
        <w:t xml:space="preserve">. </w:t>
      </w:r>
      <w:r w:rsidR="002653FC" w:rsidRPr="00574DF5">
        <w:rPr>
          <w:szCs w:val="20"/>
        </w:rPr>
        <w:t xml:space="preserve">Click </w:t>
      </w:r>
      <w:r w:rsidR="002653FC" w:rsidRPr="00574DF5">
        <w:rPr>
          <w:b/>
          <w:szCs w:val="20"/>
        </w:rPr>
        <w:t>collaboration</w:t>
      </w:r>
      <w:r w:rsidR="002653FC" w:rsidRPr="00574DF5">
        <w:rPr>
          <w:szCs w:val="20"/>
        </w:rPr>
        <w:t xml:space="preserve"> to submit a Public or Private note.</w:t>
      </w:r>
    </w:p>
    <w:p w14:paraId="18920A8B" w14:textId="6506D289" w:rsidR="002653FC" w:rsidRPr="002653FC" w:rsidRDefault="002653FC" w:rsidP="005247A9">
      <w:pPr>
        <w:numPr>
          <w:ilvl w:val="1"/>
          <w:numId w:val="24"/>
        </w:numPr>
        <w:spacing w:after="0" w:line="276" w:lineRule="auto"/>
      </w:pPr>
      <w:r>
        <w:rPr>
          <w:szCs w:val="20"/>
        </w:rPr>
        <w:t xml:space="preserve">Click </w:t>
      </w:r>
      <w:r w:rsidRPr="002653FC">
        <w:rPr>
          <w:b/>
          <w:szCs w:val="20"/>
        </w:rPr>
        <w:t>view assignment</w:t>
      </w:r>
      <w:r>
        <w:rPr>
          <w:szCs w:val="20"/>
        </w:rPr>
        <w:t xml:space="preserve"> to go to the assignment record.</w:t>
      </w:r>
    </w:p>
    <w:p w14:paraId="51C7C78E" w14:textId="6E74067B" w:rsidR="002653FC" w:rsidRPr="00FA6D0A" w:rsidRDefault="002653FC" w:rsidP="005247A9">
      <w:pPr>
        <w:numPr>
          <w:ilvl w:val="1"/>
          <w:numId w:val="24"/>
        </w:numPr>
        <w:spacing w:after="0" w:line="276" w:lineRule="auto"/>
      </w:pPr>
      <w:r>
        <w:rPr>
          <w:szCs w:val="20"/>
        </w:rPr>
        <w:t xml:space="preserve">Click </w:t>
      </w:r>
      <w:r w:rsidRPr="002653FC">
        <w:rPr>
          <w:b/>
          <w:szCs w:val="20"/>
        </w:rPr>
        <w:t>return to work orders</w:t>
      </w:r>
      <w:r>
        <w:rPr>
          <w:szCs w:val="20"/>
        </w:rPr>
        <w:t xml:space="preserve"> to take no action and exit the Offer screen.</w:t>
      </w:r>
    </w:p>
    <w:p w14:paraId="112F0691" w14:textId="77777777" w:rsidR="00FA6D0A" w:rsidRDefault="00FA6D0A" w:rsidP="00FA6D0A">
      <w:pPr>
        <w:sectPr w:rsidR="00FA6D0A" w:rsidSect="00BE1EE1">
          <w:type w:val="continuous"/>
          <w:pgSz w:w="12240" w:h="15840" w:code="1"/>
          <w:pgMar w:top="1440" w:right="1440" w:bottom="1440" w:left="1440" w:header="288" w:footer="432" w:gutter="0"/>
          <w:cols w:space="720"/>
          <w:docGrid w:linePitch="360"/>
        </w:sectPr>
      </w:pPr>
    </w:p>
    <w:p w14:paraId="742986DB" w14:textId="5A5BDCB6" w:rsidR="00FA6D0A" w:rsidRPr="007049EE" w:rsidRDefault="00FA6D0A" w:rsidP="00FA6D0A"/>
    <w:p w14:paraId="20EE02DE" w14:textId="77777777" w:rsidR="007049EE" w:rsidRDefault="007049EE" w:rsidP="007049EE">
      <w:pPr>
        <w:spacing w:line="276" w:lineRule="auto"/>
        <w:ind w:left="720"/>
        <w:sectPr w:rsidR="007049EE" w:rsidSect="00BE1EE1">
          <w:type w:val="continuous"/>
          <w:pgSz w:w="12240" w:h="15840" w:code="1"/>
          <w:pgMar w:top="1440" w:right="1440" w:bottom="1440" w:left="1440" w:header="288" w:footer="432" w:gutter="0"/>
          <w:cols w:space="720"/>
          <w:docGrid w:linePitch="360"/>
        </w:sectPr>
      </w:pPr>
    </w:p>
    <w:p w14:paraId="218A1C90" w14:textId="60A59FA6" w:rsidR="007049EE" w:rsidRDefault="0028073D" w:rsidP="0028073D">
      <w:pPr>
        <w:pStyle w:val="Heading2"/>
      </w:pPr>
      <w:r>
        <w:t>Express Approval:</w:t>
      </w:r>
    </w:p>
    <w:p w14:paraId="2E45CE37" w14:textId="77777777" w:rsidR="0028073D" w:rsidRPr="00722937" w:rsidRDefault="0028073D" w:rsidP="0028073D">
      <w:pPr>
        <w:numPr>
          <w:ilvl w:val="0"/>
          <w:numId w:val="28"/>
        </w:numPr>
        <w:tabs>
          <w:tab w:val="left" w:pos="40"/>
        </w:tabs>
        <w:spacing w:after="0" w:line="360" w:lineRule="auto"/>
        <w:rPr>
          <w:szCs w:val="20"/>
        </w:rPr>
      </w:pPr>
      <w:r w:rsidRPr="006F684D">
        <w:rPr>
          <w:szCs w:val="20"/>
        </w:rPr>
        <w:t xml:space="preserve">Log in to </w:t>
      </w:r>
      <w:r>
        <w:rPr>
          <w:szCs w:val="20"/>
        </w:rPr>
        <w:t>IQNavigator</w:t>
      </w:r>
      <w:r w:rsidRPr="006F684D">
        <w:rPr>
          <w:szCs w:val="20"/>
        </w:rPr>
        <w:t xml:space="preserve"> using your </w:t>
      </w:r>
      <w:r w:rsidRPr="006F684D">
        <w:rPr>
          <w:i/>
          <w:iCs/>
          <w:szCs w:val="20"/>
        </w:rPr>
        <w:t>user name</w:t>
      </w:r>
      <w:r w:rsidRPr="006F684D">
        <w:rPr>
          <w:szCs w:val="20"/>
        </w:rPr>
        <w:t xml:space="preserve"> and </w:t>
      </w:r>
      <w:r w:rsidRPr="006F684D">
        <w:rPr>
          <w:i/>
          <w:iCs/>
          <w:szCs w:val="20"/>
        </w:rPr>
        <w:t>password</w:t>
      </w:r>
      <w:r w:rsidRPr="006F684D">
        <w:rPr>
          <w:szCs w:val="20"/>
        </w:rPr>
        <w:t xml:space="preserve">. </w:t>
      </w:r>
      <w:r w:rsidRPr="00722937">
        <w:rPr>
          <w:szCs w:val="20"/>
        </w:rPr>
        <w:t>Your Home dashboard displays.</w:t>
      </w:r>
    </w:p>
    <w:p w14:paraId="4704DB63" w14:textId="4CDB1615" w:rsidR="0028073D" w:rsidRDefault="0028073D" w:rsidP="0028073D">
      <w:pPr>
        <w:numPr>
          <w:ilvl w:val="0"/>
          <w:numId w:val="28"/>
        </w:numPr>
        <w:tabs>
          <w:tab w:val="left" w:pos="40"/>
        </w:tabs>
        <w:spacing w:line="276" w:lineRule="auto"/>
        <w:rPr>
          <w:szCs w:val="20"/>
        </w:rPr>
      </w:pPr>
      <w:r>
        <w:rPr>
          <w:szCs w:val="20"/>
        </w:rPr>
        <w:t xml:space="preserve">Click the </w:t>
      </w:r>
      <w:r w:rsidRPr="00057EE4">
        <w:rPr>
          <w:b/>
          <w:color w:val="144E9D" w:themeColor="accent3"/>
          <w:szCs w:val="20"/>
        </w:rPr>
        <w:t>offers to approve</w:t>
      </w:r>
      <w:r>
        <w:rPr>
          <w:szCs w:val="20"/>
        </w:rPr>
        <w:t xml:space="preserve"> link located in the Work Orders/Assignments section of Status column on the right-hand side of the screen. The Work Orders – offers to approve list screen appears.</w:t>
      </w:r>
    </w:p>
    <w:p w14:paraId="0BEB118D" w14:textId="1A9A0506" w:rsidR="0028073D" w:rsidRDefault="0028073D" w:rsidP="0028073D">
      <w:pPr>
        <w:numPr>
          <w:ilvl w:val="0"/>
          <w:numId w:val="28"/>
        </w:numPr>
        <w:tabs>
          <w:tab w:val="left" w:pos="40"/>
        </w:tabs>
        <w:spacing w:line="276" w:lineRule="auto"/>
        <w:rPr>
          <w:szCs w:val="20"/>
        </w:rPr>
      </w:pPr>
      <w:r>
        <w:rPr>
          <w:szCs w:val="20"/>
        </w:rPr>
        <w:t xml:space="preserve">Use the checkbox to select </w:t>
      </w:r>
      <w:r w:rsidR="00572E09">
        <w:rPr>
          <w:szCs w:val="20"/>
        </w:rPr>
        <w:t xml:space="preserve">the </w:t>
      </w:r>
      <w:r>
        <w:rPr>
          <w:szCs w:val="20"/>
        </w:rPr>
        <w:t>offer</w:t>
      </w:r>
      <w:r w:rsidR="00572E09">
        <w:rPr>
          <w:szCs w:val="20"/>
        </w:rPr>
        <w:t xml:space="preserve"> you want</w:t>
      </w:r>
      <w:r>
        <w:rPr>
          <w:szCs w:val="20"/>
        </w:rPr>
        <w:t xml:space="preserve"> to approve.</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572E09" w:rsidRPr="006628EF" w14:paraId="33747641" w14:textId="77777777" w:rsidTr="008C7CD1">
        <w:tc>
          <w:tcPr>
            <w:tcW w:w="433" w:type="pct"/>
            <w:vAlign w:val="center"/>
          </w:tcPr>
          <w:p w14:paraId="66B08FFD" w14:textId="77777777" w:rsidR="00572E09" w:rsidRPr="00A95937" w:rsidRDefault="00572E09" w:rsidP="008C7CD1">
            <w:pPr>
              <w:spacing w:line="360" w:lineRule="auto"/>
              <w:rPr>
                <w:noProof/>
                <w:szCs w:val="20"/>
              </w:rPr>
            </w:pPr>
            <w:r w:rsidRPr="00A95937">
              <w:rPr>
                <w:noProof/>
                <w:szCs w:val="20"/>
              </w:rPr>
              <w:drawing>
                <wp:inline distT="0" distB="0" distL="0" distR="0" wp14:anchorId="15E97947" wp14:editId="5FFF59EA">
                  <wp:extent cx="338328" cy="347472"/>
                  <wp:effectExtent l="0" t="0" r="508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1E90C8CF" w14:textId="64C87C89" w:rsidR="00572E09" w:rsidRPr="00FC713A" w:rsidRDefault="0091760E" w:rsidP="00974120">
            <w:pPr>
              <w:pStyle w:val="Advisory"/>
              <w:rPr>
                <w:rFonts w:ascii="Times New Roman" w:hAnsi="Times New Roman"/>
              </w:rPr>
            </w:pPr>
            <w:r>
              <w:t xml:space="preserve">The approval process includes final selection for the assigned Supplier Accounting Representative (SAR) and the “Is Taxable?” field. The selections you enter will apply to ALL records you “checked” to approve. </w:t>
            </w:r>
            <w:r w:rsidRPr="00974120">
              <w:rPr>
                <w:rStyle w:val="Strong"/>
              </w:rPr>
              <w:t xml:space="preserve">Take care that if you </w:t>
            </w:r>
            <w:r w:rsidR="00974120">
              <w:rPr>
                <w:rStyle w:val="Strong"/>
              </w:rPr>
              <w:t xml:space="preserve">check </w:t>
            </w:r>
            <w:r w:rsidRPr="00974120">
              <w:rPr>
                <w:rStyle w:val="Strong"/>
              </w:rPr>
              <w:t xml:space="preserve">multiple offers </w:t>
            </w:r>
            <w:r w:rsidR="00974120">
              <w:rPr>
                <w:rStyle w:val="Strong"/>
              </w:rPr>
              <w:t xml:space="preserve">to approve </w:t>
            </w:r>
            <w:r w:rsidRPr="00974120">
              <w:rPr>
                <w:rStyle w:val="Strong"/>
              </w:rPr>
              <w:t>as a single group that ALL the offers in your group should be assigned the same SAR and “Is Taxable?” value.</w:t>
            </w:r>
          </w:p>
        </w:tc>
      </w:tr>
    </w:tbl>
    <w:p w14:paraId="3F13FAA3" w14:textId="46D86C35" w:rsidR="0028073D" w:rsidRDefault="0028073D" w:rsidP="0028073D">
      <w:pPr>
        <w:numPr>
          <w:ilvl w:val="0"/>
          <w:numId w:val="28"/>
        </w:numPr>
        <w:tabs>
          <w:tab w:val="left" w:pos="40"/>
        </w:tabs>
        <w:spacing w:line="276" w:lineRule="auto"/>
        <w:rPr>
          <w:szCs w:val="20"/>
        </w:rPr>
      </w:pPr>
      <w:r>
        <w:rPr>
          <w:szCs w:val="20"/>
        </w:rPr>
        <w:t>Click the approve button (</w:t>
      </w:r>
      <w:r>
        <w:rPr>
          <w:noProof/>
        </w:rPr>
        <w:drawing>
          <wp:inline distT="0" distB="0" distL="0" distR="0" wp14:anchorId="3B2C264B" wp14:editId="27C5EBAE">
            <wp:extent cx="590476" cy="171429"/>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0476" cy="171429"/>
                    </a:xfrm>
                    <a:prstGeom prst="rect">
                      <a:avLst/>
                    </a:prstGeom>
                  </pic:spPr>
                </pic:pic>
              </a:graphicData>
            </a:graphic>
          </wp:inline>
        </w:drawing>
      </w:r>
      <w:r>
        <w:rPr>
          <w:szCs w:val="20"/>
        </w:rPr>
        <w:t xml:space="preserve">) located </w:t>
      </w:r>
      <w:r w:rsidR="0091760E">
        <w:rPr>
          <w:szCs w:val="20"/>
        </w:rPr>
        <w:t>at the top of</w:t>
      </w:r>
      <w:r>
        <w:rPr>
          <w:szCs w:val="20"/>
        </w:rPr>
        <w:t xml:space="preserve"> the checkbox</w:t>
      </w:r>
      <w:r w:rsidR="0091760E">
        <w:rPr>
          <w:szCs w:val="20"/>
        </w:rPr>
        <w:t xml:space="preserve"> column</w:t>
      </w:r>
      <w:r>
        <w:rPr>
          <w:szCs w:val="20"/>
        </w:rPr>
        <w:t>.</w:t>
      </w:r>
      <w:r w:rsidR="0091760E">
        <w:rPr>
          <w:szCs w:val="20"/>
        </w:rPr>
        <w:t xml:space="preserve"> The Approval Wizard screen appears.</w:t>
      </w:r>
    </w:p>
    <w:p w14:paraId="77BBF8A1" w14:textId="78F548E2" w:rsidR="00A92746" w:rsidRDefault="00A92746" w:rsidP="0028073D">
      <w:pPr>
        <w:numPr>
          <w:ilvl w:val="0"/>
          <w:numId w:val="28"/>
        </w:numPr>
        <w:tabs>
          <w:tab w:val="left" w:pos="40"/>
        </w:tabs>
        <w:spacing w:line="276" w:lineRule="auto"/>
        <w:rPr>
          <w:szCs w:val="20"/>
        </w:rPr>
      </w:pPr>
      <w:r>
        <w:rPr>
          <w:szCs w:val="20"/>
        </w:rPr>
        <w:t xml:space="preserve">Verify/Update the Supplier Accounting Representative (SAR) Name and Is Taxable? Selections. These are required fields as noted by the </w:t>
      </w:r>
      <w:r w:rsidRPr="007468A0">
        <w:rPr>
          <w:color w:val="C00000"/>
          <w:szCs w:val="20"/>
        </w:rPr>
        <w:t xml:space="preserve">red asterisk </w:t>
      </w:r>
      <w:r>
        <w:rPr>
          <w:szCs w:val="20"/>
        </w:rPr>
        <w:t>(</w:t>
      </w:r>
      <w:r w:rsidRPr="007468A0">
        <w:rPr>
          <w:color w:val="C00000"/>
          <w:szCs w:val="20"/>
        </w:rPr>
        <w:t>*</w:t>
      </w:r>
      <w:r>
        <w:rPr>
          <w:szCs w:val="20"/>
        </w:rPr>
        <w:t xml:space="preserve">). </w:t>
      </w:r>
      <w:r w:rsidRPr="00A92746">
        <w:rPr>
          <w:i/>
          <w:szCs w:val="20"/>
        </w:rPr>
        <w:t>Optional</w:t>
      </w:r>
      <w:r>
        <w:rPr>
          <w:szCs w:val="20"/>
        </w:rPr>
        <w:t xml:space="preserve">. If no resource is associated to the Work Order/Assignment, you will be prompted to assign one or create a quick resource record now. Follow the prompts. </w:t>
      </w:r>
    </w:p>
    <w:p w14:paraId="41FF2496" w14:textId="4DE94100" w:rsidR="00A92746" w:rsidRDefault="00A92746" w:rsidP="0028073D">
      <w:pPr>
        <w:numPr>
          <w:ilvl w:val="0"/>
          <w:numId w:val="28"/>
        </w:numPr>
        <w:tabs>
          <w:tab w:val="left" w:pos="40"/>
        </w:tabs>
        <w:spacing w:line="276" w:lineRule="auto"/>
        <w:rPr>
          <w:szCs w:val="20"/>
        </w:rPr>
      </w:pPr>
      <w:r>
        <w:rPr>
          <w:szCs w:val="20"/>
        </w:rPr>
        <w:t>Click the next button (</w:t>
      </w:r>
      <w:r>
        <w:rPr>
          <w:noProof/>
        </w:rPr>
        <w:drawing>
          <wp:inline distT="0" distB="0" distL="0" distR="0" wp14:anchorId="5320C34D" wp14:editId="2AF14D3F">
            <wp:extent cx="447619" cy="190476"/>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619" cy="190476"/>
                    </a:xfrm>
                    <a:prstGeom prst="rect">
                      <a:avLst/>
                    </a:prstGeom>
                  </pic:spPr>
                </pic:pic>
              </a:graphicData>
            </a:graphic>
          </wp:inline>
        </w:drawing>
      </w:r>
      <w:r>
        <w:rPr>
          <w:szCs w:val="20"/>
        </w:rPr>
        <w:t>) to continue.</w:t>
      </w:r>
      <w:r w:rsidR="005D7BB6">
        <w:rPr>
          <w:szCs w:val="20"/>
        </w:rPr>
        <w:t xml:space="preserve"> The Approval Wizard Confirmation screen appears.</w:t>
      </w:r>
    </w:p>
    <w:p w14:paraId="607610C0" w14:textId="51E90B51" w:rsidR="00A92746" w:rsidRDefault="00A92746" w:rsidP="0028073D">
      <w:pPr>
        <w:numPr>
          <w:ilvl w:val="0"/>
          <w:numId w:val="28"/>
        </w:numPr>
        <w:tabs>
          <w:tab w:val="left" w:pos="40"/>
        </w:tabs>
        <w:spacing w:line="276" w:lineRule="auto"/>
        <w:rPr>
          <w:szCs w:val="20"/>
        </w:rPr>
      </w:pPr>
      <w:r>
        <w:rPr>
          <w:szCs w:val="20"/>
        </w:rPr>
        <w:t xml:space="preserve">Verify/Update the Resource Email entry for each listing. This is a required field as noted by the </w:t>
      </w:r>
      <w:r w:rsidRPr="007468A0">
        <w:rPr>
          <w:color w:val="C00000"/>
          <w:szCs w:val="20"/>
        </w:rPr>
        <w:t xml:space="preserve">red asterisk </w:t>
      </w:r>
      <w:r>
        <w:rPr>
          <w:szCs w:val="20"/>
        </w:rPr>
        <w:t>(</w:t>
      </w:r>
      <w:r w:rsidRPr="007468A0">
        <w:rPr>
          <w:color w:val="C00000"/>
          <w:szCs w:val="20"/>
        </w:rPr>
        <w:t>*</w:t>
      </w:r>
      <w:r>
        <w:rPr>
          <w:szCs w:val="20"/>
        </w:rPr>
        <w:t>).</w:t>
      </w:r>
    </w:p>
    <w:p w14:paraId="74640CF9" w14:textId="1ADB60AE" w:rsidR="00A92746" w:rsidRDefault="005D7BB6" w:rsidP="0028073D">
      <w:pPr>
        <w:numPr>
          <w:ilvl w:val="0"/>
          <w:numId w:val="28"/>
        </w:numPr>
        <w:tabs>
          <w:tab w:val="left" w:pos="40"/>
        </w:tabs>
        <w:spacing w:line="276" w:lineRule="auto"/>
        <w:rPr>
          <w:szCs w:val="20"/>
        </w:rPr>
      </w:pPr>
      <w:r>
        <w:rPr>
          <w:szCs w:val="20"/>
        </w:rPr>
        <w:t>Click the approve button (</w:t>
      </w:r>
      <w:r>
        <w:rPr>
          <w:noProof/>
        </w:rPr>
        <w:drawing>
          <wp:inline distT="0" distB="0" distL="0" distR="0" wp14:anchorId="35967EEA" wp14:editId="698F9C04">
            <wp:extent cx="628571" cy="190476"/>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8571" cy="190476"/>
                    </a:xfrm>
                    <a:prstGeom prst="rect">
                      <a:avLst/>
                    </a:prstGeom>
                  </pic:spPr>
                </pic:pic>
              </a:graphicData>
            </a:graphic>
          </wp:inline>
        </w:drawing>
      </w:r>
      <w:r>
        <w:rPr>
          <w:szCs w:val="20"/>
        </w:rPr>
        <w:t xml:space="preserve">) to complete the approval. </w:t>
      </w:r>
      <w:r w:rsidRPr="00170662">
        <w:rPr>
          <w:color w:val="C00000"/>
          <w:szCs w:val="20"/>
        </w:rPr>
        <w:t>BE AWARE! Once you click approve, your approval is final.</w:t>
      </w:r>
      <w:r>
        <w:rPr>
          <w:szCs w:val="20"/>
        </w:rPr>
        <w:t xml:space="preserve"> There is no secondary confirmation screen to confirm your intent.</w:t>
      </w:r>
      <w:r w:rsidR="00170662">
        <w:rPr>
          <w:szCs w:val="20"/>
        </w:rPr>
        <w:t xml:space="preserve"> The screen refreshes to a status screen with the update that your approval is being processed. Once complete, the screen returns to your offers to approve list screen.</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5D7BB6" w:rsidRPr="006628EF" w14:paraId="18FF2695" w14:textId="77777777" w:rsidTr="008C7CD1">
        <w:tc>
          <w:tcPr>
            <w:tcW w:w="433" w:type="pct"/>
            <w:vAlign w:val="center"/>
          </w:tcPr>
          <w:p w14:paraId="50E36C91" w14:textId="77777777" w:rsidR="005D7BB6" w:rsidRPr="00A95937" w:rsidRDefault="005D7BB6" w:rsidP="008C7CD1">
            <w:pPr>
              <w:spacing w:line="360" w:lineRule="auto"/>
              <w:rPr>
                <w:noProof/>
                <w:szCs w:val="20"/>
              </w:rPr>
            </w:pPr>
            <w:r w:rsidRPr="00A95937">
              <w:rPr>
                <w:noProof/>
                <w:szCs w:val="20"/>
              </w:rPr>
              <w:drawing>
                <wp:inline distT="0" distB="0" distL="0" distR="0" wp14:anchorId="0F77D0E3" wp14:editId="06C07968">
                  <wp:extent cx="338328" cy="347472"/>
                  <wp:effectExtent l="0" t="0" r="508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3FC8E4D2" w14:textId="29B9E040" w:rsidR="005D7BB6" w:rsidRPr="00FC713A" w:rsidRDefault="005D7BB6" w:rsidP="003A1D1C">
            <w:pPr>
              <w:pStyle w:val="Advisory"/>
              <w:rPr>
                <w:rFonts w:ascii="Times New Roman" w:hAnsi="Times New Roman"/>
              </w:rPr>
            </w:pPr>
            <w:r>
              <w:t xml:space="preserve">The </w:t>
            </w:r>
            <w:r w:rsidR="00170662">
              <w:t xml:space="preserve">express method streamlines the overall </w:t>
            </w:r>
            <w:r>
              <w:t xml:space="preserve">approval process </w:t>
            </w:r>
            <w:r w:rsidR="003A1D1C">
              <w:t>by eliminating</w:t>
            </w:r>
            <w:r w:rsidR="00170662">
              <w:t xml:space="preserve"> visibility to the full </w:t>
            </w:r>
            <w:r w:rsidR="003A1D1C">
              <w:t xml:space="preserve">Work Order / Assignment record. The Acceptance Terms and Conditions statement visible on the Work Order Summary tab is only accessible if you use the </w:t>
            </w:r>
            <w:r w:rsidR="003A1D1C" w:rsidRPr="003A1D1C">
              <w:rPr>
                <w:b/>
              </w:rPr>
              <w:t xml:space="preserve">link </w:t>
            </w:r>
            <w:r w:rsidR="003A1D1C">
              <w:t>to view the full</w:t>
            </w:r>
            <w:r w:rsidR="00170662">
              <w:t xml:space="preserve"> record</w:t>
            </w:r>
            <w:r w:rsidR="003A1D1C">
              <w:t xml:space="preserve">. </w:t>
            </w:r>
          </w:p>
        </w:tc>
      </w:tr>
    </w:tbl>
    <w:p w14:paraId="292EF7A9" w14:textId="77777777" w:rsidR="005D7BB6" w:rsidRDefault="005D7BB6" w:rsidP="005D7BB6">
      <w:pPr>
        <w:tabs>
          <w:tab w:val="left" w:pos="40"/>
        </w:tabs>
        <w:spacing w:line="276" w:lineRule="auto"/>
        <w:ind w:left="360"/>
        <w:rPr>
          <w:szCs w:val="20"/>
        </w:rPr>
        <w:sectPr w:rsidR="005D7BB6" w:rsidSect="00BE1EE1">
          <w:type w:val="continuous"/>
          <w:pgSz w:w="12240" w:h="15840" w:code="1"/>
          <w:pgMar w:top="1440" w:right="1440" w:bottom="1440" w:left="1440" w:header="288" w:footer="432" w:gutter="0"/>
          <w:cols w:space="720"/>
          <w:docGrid w:linePitch="360"/>
        </w:sectPr>
      </w:pPr>
    </w:p>
    <w:bookmarkEnd w:id="0"/>
    <w:p w14:paraId="65CBD515" w14:textId="52E4A8DD" w:rsidR="005D7BB6" w:rsidRDefault="005D7BB6" w:rsidP="005D7BB6">
      <w:pPr>
        <w:tabs>
          <w:tab w:val="left" w:pos="40"/>
        </w:tabs>
        <w:spacing w:line="276" w:lineRule="auto"/>
        <w:ind w:left="360"/>
        <w:rPr>
          <w:szCs w:val="20"/>
        </w:rPr>
      </w:pPr>
    </w:p>
    <w:sectPr w:rsidR="005D7BB6" w:rsidSect="00BE1EE1">
      <w:type w:val="continuous"/>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6700" w14:textId="77777777" w:rsidR="001256B9" w:rsidRPr="00242F36" w:rsidRDefault="001256B9" w:rsidP="00242F36">
      <w:r>
        <w:separator/>
      </w:r>
    </w:p>
  </w:endnote>
  <w:endnote w:type="continuationSeparator" w:id="0">
    <w:p w14:paraId="463BD9E6" w14:textId="77777777" w:rsidR="001256B9" w:rsidRPr="00242F36" w:rsidRDefault="001256B9" w:rsidP="002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A27F" w14:textId="16BABFE0" w:rsidR="00653C81" w:rsidRPr="00DB2499" w:rsidRDefault="00C34049" w:rsidP="00C34049">
    <w:pPr>
      <w:pStyle w:val="Footer"/>
      <w:tabs>
        <w:tab w:val="clear" w:pos="4680"/>
      </w:tabs>
      <w:ind w:left="-90" w:right="360"/>
    </w:pPr>
    <w:r w:rsidRPr="002A1899">
      <w:rPr>
        <w:rFonts w:cs="Arial"/>
        <w:b/>
        <w:color w:val="8D8D8D"/>
        <w:sz w:val="18"/>
        <w:szCs w:val="18"/>
      </w:rPr>
      <w:t>Beeline</w:t>
    </w:r>
    <w:r w:rsidR="00651A86">
      <w:rPr>
        <w:rFonts w:cs="Arial"/>
        <w:b/>
        <w:color w:val="8D8D8D"/>
        <w:sz w:val="18"/>
        <w:szCs w:val="18"/>
      </w:rPr>
      <w:t xml:space="preserve">.com, Inc. </w:t>
    </w:r>
    <w:r w:rsidRPr="002A1899">
      <w:rPr>
        <w:rFonts w:cs="Arial"/>
        <w:b/>
        <w:color w:val="82C441"/>
        <w:sz w:val="18"/>
        <w:szCs w:val="18"/>
      </w:rPr>
      <w:t>|</w:t>
    </w:r>
    <w:r w:rsidRPr="002A1899">
      <w:rPr>
        <w:rFonts w:cs="Arial"/>
        <w:color w:val="82C441"/>
        <w:sz w:val="18"/>
        <w:szCs w:val="18"/>
      </w:rPr>
      <w:t xml:space="preserve"> </w:t>
    </w:r>
    <w:r w:rsidRPr="002A1899">
      <w:rPr>
        <w:rFonts w:cs="Arial"/>
        <w:color w:val="8D8D8D"/>
        <w:sz w:val="18"/>
        <w:szCs w:val="18"/>
      </w:rPr>
      <w:t>Proprietary Document ©201</w:t>
    </w:r>
    <w:r w:rsidR="00651A86">
      <w:rPr>
        <w:rFonts w:cs="Arial"/>
        <w:color w:val="8D8D8D"/>
        <w:sz w:val="18"/>
        <w:szCs w:val="18"/>
      </w:rPr>
      <w:t>8</w:t>
    </w:r>
    <w:r w:rsidRPr="002A1899">
      <w:rPr>
        <w:rFonts w:cs="Arial"/>
        <w:color w:val="8D8D8D"/>
        <w:sz w:val="18"/>
        <w:szCs w:val="18"/>
      </w:rPr>
      <w:t xml:space="preserve"> All Rights Reserved</w:t>
    </w:r>
    <w:r w:rsidRPr="002A1899">
      <w:rPr>
        <w:rFonts w:cs="Arial"/>
        <w:sz w:val="18"/>
        <w:szCs w:val="18"/>
      </w:rPr>
      <w:tab/>
    </w:r>
    <w:r w:rsidRPr="002A1899">
      <w:rPr>
        <w:rFonts w:cs="Arial"/>
        <w:color w:val="8D8D8D"/>
        <w:sz w:val="18"/>
        <w:szCs w:val="18"/>
      </w:rPr>
      <w:fldChar w:fldCharType="begin"/>
    </w:r>
    <w:r w:rsidRPr="002A1899">
      <w:rPr>
        <w:rFonts w:cs="Arial"/>
        <w:color w:val="8D8D8D"/>
        <w:sz w:val="18"/>
        <w:szCs w:val="18"/>
      </w:rPr>
      <w:instrText xml:space="preserve"> PAGE   \* MERGEFORMAT </w:instrText>
    </w:r>
    <w:r w:rsidRPr="002A1899">
      <w:rPr>
        <w:rFonts w:cs="Arial"/>
        <w:color w:val="8D8D8D"/>
        <w:sz w:val="18"/>
        <w:szCs w:val="18"/>
      </w:rPr>
      <w:fldChar w:fldCharType="separate"/>
    </w:r>
    <w:r w:rsidR="001256B9">
      <w:rPr>
        <w:rFonts w:cs="Arial"/>
        <w:noProof/>
        <w:color w:val="8D8D8D"/>
        <w:sz w:val="18"/>
        <w:szCs w:val="18"/>
      </w:rPr>
      <w:t>1</w:t>
    </w:r>
    <w:r w:rsidRPr="002A1899">
      <w:rPr>
        <w:rFonts w:cs="Arial"/>
        <w:noProof/>
        <w:color w:val="8D8D8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D83A8" w14:textId="77777777" w:rsidR="001256B9" w:rsidRPr="00242F36" w:rsidRDefault="001256B9" w:rsidP="00242F36">
      <w:r>
        <w:separator/>
      </w:r>
    </w:p>
  </w:footnote>
  <w:footnote w:type="continuationSeparator" w:id="0">
    <w:p w14:paraId="4EB4DE1C" w14:textId="77777777" w:rsidR="001256B9" w:rsidRPr="00242F36" w:rsidRDefault="001256B9" w:rsidP="002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4204" w14:textId="55326BDC" w:rsidR="004F1E13" w:rsidRDefault="001A0122" w:rsidP="004D36E6">
    <w:pPr>
      <w:pStyle w:val="IQNavHeader"/>
      <w:tabs>
        <w:tab w:val="left" w:pos="3060"/>
      </w:tabs>
      <w:spacing w:after="0"/>
    </w:pPr>
    <w:r>
      <w:rPr>
        <w:noProof/>
      </w:rPr>
      <w:drawing>
        <wp:inline distT="0" distB="0" distL="0" distR="0" wp14:anchorId="29DC0783" wp14:editId="1B085D51">
          <wp:extent cx="5544306" cy="6426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_header1.png"/>
                  <pic:cNvPicPr/>
                </pic:nvPicPr>
                <pic:blipFill>
                  <a:blip r:embed="rId1">
                    <a:extLst>
                      <a:ext uri="{28A0092B-C50C-407E-A947-70E740481C1C}">
                        <a14:useLocalDpi xmlns:a14="http://schemas.microsoft.com/office/drawing/2010/main" val="0"/>
                      </a:ext>
                    </a:extLst>
                  </a:blip>
                  <a:stretch>
                    <a:fillRect/>
                  </a:stretch>
                </pic:blipFill>
                <pic:spPr>
                  <a:xfrm>
                    <a:off x="0" y="0"/>
                    <a:ext cx="5544306" cy="642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F34"/>
    <w:multiLevelType w:val="hybridMultilevel"/>
    <w:tmpl w:val="CA326B16"/>
    <w:lvl w:ilvl="0" w:tplc="B09A8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F620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84F0B"/>
    <w:multiLevelType w:val="multilevel"/>
    <w:tmpl w:val="142A0A94"/>
    <w:styleLink w:val="ListBullet1"/>
    <w:lvl w:ilvl="0">
      <w:start w:val="1"/>
      <w:numFmt w:val="bullet"/>
      <w:pStyle w:val="ListBullet"/>
      <w:lvlText w:val="»"/>
      <w:lvlJc w:val="left"/>
      <w:pPr>
        <w:ind w:left="360" w:hanging="216"/>
      </w:pPr>
      <w:rPr>
        <w:rFonts w:ascii="Calibri" w:hAnsi="Calibri" w:hint="default"/>
        <w:color w:val="00A6DE"/>
      </w:rPr>
    </w:lvl>
    <w:lvl w:ilvl="1">
      <w:start w:val="1"/>
      <w:numFmt w:val="bullet"/>
      <w:pStyle w:val="ListBullet2"/>
      <w:lvlText w:val="▪"/>
      <w:lvlJc w:val="left"/>
      <w:pPr>
        <w:ind w:left="864" w:hanging="216"/>
      </w:pPr>
      <w:rPr>
        <w:rFonts w:ascii="Calibri" w:hAnsi="Calibri" w:hint="default"/>
        <w:color w:val="F3B329"/>
        <w:sz w:val="20"/>
      </w:rPr>
    </w:lvl>
    <w:lvl w:ilvl="2">
      <w:start w:val="1"/>
      <w:numFmt w:val="bullet"/>
      <w:pStyle w:val="ListBullet3"/>
      <w:lvlText w:val="›"/>
      <w:lvlJc w:val="left"/>
      <w:pPr>
        <w:tabs>
          <w:tab w:val="num" w:pos="1152"/>
        </w:tabs>
        <w:ind w:left="1368" w:hanging="216"/>
      </w:pPr>
      <w:rPr>
        <w:rFonts w:ascii="Calibri" w:hAnsi="Calibri" w:hint="default"/>
        <w:color w:val="808080" w:themeColor="background1" w:themeShade="80"/>
      </w:rPr>
    </w:lvl>
    <w:lvl w:ilvl="3">
      <w:start w:val="1"/>
      <w:numFmt w:val="bullet"/>
      <w:pStyle w:val="ListBullet4"/>
      <w:lvlText w:val="–"/>
      <w:lvlJc w:val="left"/>
      <w:pPr>
        <w:tabs>
          <w:tab w:val="num" w:pos="1656"/>
        </w:tabs>
        <w:ind w:left="1872" w:hanging="216"/>
      </w:pPr>
      <w:rPr>
        <w:rFonts w:ascii="Calibri" w:hAnsi="Calibri" w:hint="default"/>
        <w:color w:val="F3B329"/>
      </w:rPr>
    </w:lvl>
    <w:lvl w:ilvl="4">
      <w:start w:val="1"/>
      <w:numFmt w:val="bullet"/>
      <w:pStyle w:val="ListBullet5"/>
      <w:lvlText w:val="▪"/>
      <w:lvlJc w:val="left"/>
      <w:pPr>
        <w:tabs>
          <w:tab w:val="num" w:pos="2160"/>
        </w:tabs>
        <w:ind w:left="2376" w:hanging="216"/>
      </w:pPr>
      <w:rPr>
        <w:rFonts w:ascii="Calibri" w:hAnsi="Calibri" w:hint="default"/>
        <w:color w:val="F3B329"/>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3" w15:restartNumberingAfterBreak="0">
    <w:nsid w:val="19602A6C"/>
    <w:multiLevelType w:val="hybridMultilevel"/>
    <w:tmpl w:val="C8B2FE58"/>
    <w:lvl w:ilvl="0" w:tplc="00147672">
      <w:start w:val="1"/>
      <w:numFmt w:val="bullet"/>
      <w:pStyle w:val="ProcedureIntro"/>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6A7B1D"/>
    <w:multiLevelType w:val="hybridMultilevel"/>
    <w:tmpl w:val="F18E5CA0"/>
    <w:lvl w:ilvl="0" w:tplc="B09A8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14E4A"/>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834B7"/>
    <w:multiLevelType w:val="multilevel"/>
    <w:tmpl w:val="05E0D4C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934EF7"/>
    <w:multiLevelType w:val="hybridMultilevel"/>
    <w:tmpl w:val="F2CC3DE4"/>
    <w:lvl w:ilvl="0" w:tplc="AC98E3D2">
      <w:start w:val="1"/>
      <w:numFmt w:val="lowerLetter"/>
      <w:pStyle w:val="Tabl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AF2B06"/>
    <w:multiLevelType w:val="hybridMultilevel"/>
    <w:tmpl w:val="83F6D7E2"/>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2643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5649D"/>
    <w:multiLevelType w:val="multilevel"/>
    <w:tmpl w:val="26B688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51442DA"/>
    <w:multiLevelType w:val="hybridMultilevel"/>
    <w:tmpl w:val="BFB067D8"/>
    <w:lvl w:ilvl="0" w:tplc="EF0E9800">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2" w15:restartNumberingAfterBreak="0">
    <w:nsid w:val="4BB939CE"/>
    <w:multiLevelType w:val="hybridMultilevel"/>
    <w:tmpl w:val="B750EF82"/>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5B51"/>
    <w:multiLevelType w:val="multilevel"/>
    <w:tmpl w:val="EEBC6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CD01837"/>
    <w:multiLevelType w:val="hybridMultilevel"/>
    <w:tmpl w:val="E9F020C6"/>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D44FA2"/>
    <w:multiLevelType w:val="hybridMultilevel"/>
    <w:tmpl w:val="C2F85FEC"/>
    <w:lvl w:ilvl="0" w:tplc="63DEBFDA">
      <w:start w:val="1"/>
      <w:numFmt w:val="bullet"/>
      <w:pStyle w:val="QuoteAttribute"/>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009A6"/>
    <w:multiLevelType w:val="multilevel"/>
    <w:tmpl w:val="142A0A94"/>
    <w:numStyleLink w:val="ListBullet1"/>
  </w:abstractNum>
  <w:abstractNum w:abstractNumId="17" w15:restartNumberingAfterBreak="0">
    <w:nsid w:val="583B2ACC"/>
    <w:multiLevelType w:val="hybridMultilevel"/>
    <w:tmpl w:val="FC30726C"/>
    <w:lvl w:ilvl="0" w:tplc="B09A8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70A18"/>
    <w:multiLevelType w:val="hybridMultilevel"/>
    <w:tmpl w:val="4E3A58FC"/>
    <w:lvl w:ilvl="0" w:tplc="2C7853C4">
      <w:start w:val="1"/>
      <w:numFmt w:val="lowerLetter"/>
      <w:pStyle w:val="Procedur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8E29E2"/>
    <w:multiLevelType w:val="hybridMultilevel"/>
    <w:tmpl w:val="D61A2CE2"/>
    <w:lvl w:ilvl="0" w:tplc="B09A81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92235C"/>
    <w:multiLevelType w:val="hybridMultilevel"/>
    <w:tmpl w:val="8CF4E068"/>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D27462"/>
    <w:multiLevelType w:val="multilevel"/>
    <w:tmpl w:val="48E28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88134C"/>
    <w:multiLevelType w:val="multilevel"/>
    <w:tmpl w:val="97A2A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702C0968"/>
    <w:multiLevelType w:val="hybridMultilevel"/>
    <w:tmpl w:val="681C50E6"/>
    <w:lvl w:ilvl="0" w:tplc="DF148382">
      <w:start w:val="1"/>
      <w:numFmt w:val="bullet"/>
      <w:pStyle w:val="CoverTitleSub"/>
      <w:lvlText w:val="»"/>
      <w:lvlJc w:val="left"/>
      <w:pPr>
        <w:ind w:left="720" w:hanging="360"/>
      </w:pPr>
      <w:rPr>
        <w:rFonts w:ascii="Georgia" w:hAnsi="Georgia" w:hint="default"/>
        <w:b w:val="0"/>
        <w:i/>
        <w:color w:val="003A5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96CBE"/>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9642DF"/>
    <w:multiLevelType w:val="multilevel"/>
    <w:tmpl w:val="F8BA992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3"/>
  </w:num>
  <w:num w:numId="2">
    <w:abstractNumId w:val="2"/>
  </w:num>
  <w:num w:numId="3">
    <w:abstractNumId w:val="15"/>
  </w:num>
  <w:num w:numId="4">
    <w:abstractNumId w:val="24"/>
  </w:num>
  <w:num w:numId="5">
    <w:abstractNumId w:val="16"/>
  </w:num>
  <w:num w:numId="6">
    <w:abstractNumId w:val="16"/>
  </w:num>
  <w:num w:numId="7">
    <w:abstractNumId w:val="3"/>
  </w:num>
  <w:num w:numId="8">
    <w:abstractNumId w:val="18"/>
  </w:num>
  <w:num w:numId="9">
    <w:abstractNumId w:val="7"/>
  </w:num>
  <w:num w:numId="10">
    <w:abstractNumId w:val="9"/>
  </w:num>
  <w:num w:numId="11">
    <w:abstractNumId w:val="6"/>
  </w:num>
  <w:num w:numId="12">
    <w:abstractNumId w:val="21"/>
  </w:num>
  <w:num w:numId="13">
    <w:abstractNumId w:val="10"/>
  </w:num>
  <w:num w:numId="14">
    <w:abstractNumId w:val="26"/>
  </w:num>
  <w:num w:numId="15">
    <w:abstractNumId w:val="8"/>
  </w:num>
  <w:num w:numId="16">
    <w:abstractNumId w:val="4"/>
  </w:num>
  <w:num w:numId="17">
    <w:abstractNumId w:val="20"/>
  </w:num>
  <w:num w:numId="18">
    <w:abstractNumId w:val="22"/>
  </w:num>
  <w:num w:numId="19">
    <w:abstractNumId w:val="25"/>
  </w:num>
  <w:num w:numId="20">
    <w:abstractNumId w:val="1"/>
  </w:num>
  <w:num w:numId="21">
    <w:abstractNumId w:val="13"/>
  </w:num>
  <w:num w:numId="22">
    <w:abstractNumId w:val="19"/>
  </w:num>
  <w:num w:numId="23">
    <w:abstractNumId w:val="0"/>
  </w:num>
  <w:num w:numId="24">
    <w:abstractNumId w:val="17"/>
  </w:num>
  <w:num w:numId="25">
    <w:abstractNumId w:val="12"/>
  </w:num>
  <w:num w:numId="26">
    <w:abstractNumId w:val="11"/>
  </w:num>
  <w:num w:numId="27">
    <w:abstractNumId w:val="14"/>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3"/>
  <w:documentProtection w:enforcement="0"/>
  <w:autoFormatOverride/>
  <w:styleLockTheme/>
  <w:styleLockQFSet/>
  <w:defaultTabStop w:val="25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ED"/>
    <w:rsid w:val="00000609"/>
    <w:rsid w:val="0000131A"/>
    <w:rsid w:val="00004081"/>
    <w:rsid w:val="000052B3"/>
    <w:rsid w:val="00006F2A"/>
    <w:rsid w:val="0001187E"/>
    <w:rsid w:val="00013DBE"/>
    <w:rsid w:val="0002079B"/>
    <w:rsid w:val="00022814"/>
    <w:rsid w:val="00022EC3"/>
    <w:rsid w:val="0002386E"/>
    <w:rsid w:val="00023D5C"/>
    <w:rsid w:val="000250EA"/>
    <w:rsid w:val="0002703C"/>
    <w:rsid w:val="0003084B"/>
    <w:rsid w:val="000308E9"/>
    <w:rsid w:val="00035C23"/>
    <w:rsid w:val="000378D5"/>
    <w:rsid w:val="000443C0"/>
    <w:rsid w:val="00045107"/>
    <w:rsid w:val="00045327"/>
    <w:rsid w:val="00046E7B"/>
    <w:rsid w:val="00051715"/>
    <w:rsid w:val="00053123"/>
    <w:rsid w:val="00056ECB"/>
    <w:rsid w:val="00057EE4"/>
    <w:rsid w:val="000605FB"/>
    <w:rsid w:val="000610ED"/>
    <w:rsid w:val="000658F5"/>
    <w:rsid w:val="00066B4E"/>
    <w:rsid w:val="0007040E"/>
    <w:rsid w:val="00081B91"/>
    <w:rsid w:val="00082D9F"/>
    <w:rsid w:val="0008528F"/>
    <w:rsid w:val="00087CD7"/>
    <w:rsid w:val="00090AA3"/>
    <w:rsid w:val="00091698"/>
    <w:rsid w:val="00093F06"/>
    <w:rsid w:val="0009524B"/>
    <w:rsid w:val="00095E5D"/>
    <w:rsid w:val="000A31A2"/>
    <w:rsid w:val="000A5A31"/>
    <w:rsid w:val="000A7727"/>
    <w:rsid w:val="000B4389"/>
    <w:rsid w:val="000B61CC"/>
    <w:rsid w:val="000B7478"/>
    <w:rsid w:val="000C4F9C"/>
    <w:rsid w:val="000C61BD"/>
    <w:rsid w:val="000C69D9"/>
    <w:rsid w:val="000D209F"/>
    <w:rsid w:val="000D76DA"/>
    <w:rsid w:val="000E0CC5"/>
    <w:rsid w:val="000E17E4"/>
    <w:rsid w:val="000E2672"/>
    <w:rsid w:val="000E441D"/>
    <w:rsid w:val="000F0976"/>
    <w:rsid w:val="000F462A"/>
    <w:rsid w:val="000F6116"/>
    <w:rsid w:val="001009A2"/>
    <w:rsid w:val="001034C3"/>
    <w:rsid w:val="001059BD"/>
    <w:rsid w:val="00110D94"/>
    <w:rsid w:val="00110ED2"/>
    <w:rsid w:val="001133DA"/>
    <w:rsid w:val="00116731"/>
    <w:rsid w:val="0012369C"/>
    <w:rsid w:val="0012489B"/>
    <w:rsid w:val="00124DB1"/>
    <w:rsid w:val="00124F7D"/>
    <w:rsid w:val="001256B9"/>
    <w:rsid w:val="00127845"/>
    <w:rsid w:val="00130AA3"/>
    <w:rsid w:val="0013261B"/>
    <w:rsid w:val="00132810"/>
    <w:rsid w:val="00136A66"/>
    <w:rsid w:val="00140A7B"/>
    <w:rsid w:val="00142281"/>
    <w:rsid w:val="00143DED"/>
    <w:rsid w:val="00143F35"/>
    <w:rsid w:val="001451DE"/>
    <w:rsid w:val="001513EA"/>
    <w:rsid w:val="00152BD6"/>
    <w:rsid w:val="001570CA"/>
    <w:rsid w:val="0016112F"/>
    <w:rsid w:val="001640B6"/>
    <w:rsid w:val="0016410D"/>
    <w:rsid w:val="00164B61"/>
    <w:rsid w:val="0016557A"/>
    <w:rsid w:val="00170062"/>
    <w:rsid w:val="00170662"/>
    <w:rsid w:val="00170BB1"/>
    <w:rsid w:val="00175BF4"/>
    <w:rsid w:val="00176CC5"/>
    <w:rsid w:val="00181B38"/>
    <w:rsid w:val="00182826"/>
    <w:rsid w:val="00185316"/>
    <w:rsid w:val="00186120"/>
    <w:rsid w:val="001861F6"/>
    <w:rsid w:val="001909C5"/>
    <w:rsid w:val="001914AA"/>
    <w:rsid w:val="00191747"/>
    <w:rsid w:val="00191E05"/>
    <w:rsid w:val="00192763"/>
    <w:rsid w:val="00195515"/>
    <w:rsid w:val="001962DE"/>
    <w:rsid w:val="001A0122"/>
    <w:rsid w:val="001A16CA"/>
    <w:rsid w:val="001A354D"/>
    <w:rsid w:val="001A5C77"/>
    <w:rsid w:val="001B03B2"/>
    <w:rsid w:val="001B04AE"/>
    <w:rsid w:val="001B3F8B"/>
    <w:rsid w:val="001B4AB2"/>
    <w:rsid w:val="001B5252"/>
    <w:rsid w:val="001B64AD"/>
    <w:rsid w:val="001B6F4F"/>
    <w:rsid w:val="001B7DF2"/>
    <w:rsid w:val="001C3B49"/>
    <w:rsid w:val="001C5E47"/>
    <w:rsid w:val="001D3D7C"/>
    <w:rsid w:val="001D4466"/>
    <w:rsid w:val="001D5C4C"/>
    <w:rsid w:val="001E1315"/>
    <w:rsid w:val="001E2169"/>
    <w:rsid w:val="001E2394"/>
    <w:rsid w:val="001E4372"/>
    <w:rsid w:val="001E4C84"/>
    <w:rsid w:val="00200B9F"/>
    <w:rsid w:val="00203192"/>
    <w:rsid w:val="00212E3E"/>
    <w:rsid w:val="002134CE"/>
    <w:rsid w:val="002160F5"/>
    <w:rsid w:val="00216826"/>
    <w:rsid w:val="002236CF"/>
    <w:rsid w:val="00227EC3"/>
    <w:rsid w:val="00234A47"/>
    <w:rsid w:val="0023500B"/>
    <w:rsid w:val="0023547D"/>
    <w:rsid w:val="00236009"/>
    <w:rsid w:val="002363DD"/>
    <w:rsid w:val="00236DA3"/>
    <w:rsid w:val="00237B5C"/>
    <w:rsid w:val="00241ABE"/>
    <w:rsid w:val="00242F36"/>
    <w:rsid w:val="00243A6E"/>
    <w:rsid w:val="002460D9"/>
    <w:rsid w:val="00246AD2"/>
    <w:rsid w:val="00246B2F"/>
    <w:rsid w:val="00252713"/>
    <w:rsid w:val="00263E2C"/>
    <w:rsid w:val="002653FC"/>
    <w:rsid w:val="00270D6F"/>
    <w:rsid w:val="002723FA"/>
    <w:rsid w:val="0027627D"/>
    <w:rsid w:val="0028073D"/>
    <w:rsid w:val="00291615"/>
    <w:rsid w:val="002952FD"/>
    <w:rsid w:val="0029641D"/>
    <w:rsid w:val="002A0FD3"/>
    <w:rsid w:val="002A2C75"/>
    <w:rsid w:val="002A2ECD"/>
    <w:rsid w:val="002A4F7B"/>
    <w:rsid w:val="002A58DF"/>
    <w:rsid w:val="002C1D95"/>
    <w:rsid w:val="002C2595"/>
    <w:rsid w:val="002C2BEC"/>
    <w:rsid w:val="002C4771"/>
    <w:rsid w:val="002C7D67"/>
    <w:rsid w:val="002D1B82"/>
    <w:rsid w:val="002D3A11"/>
    <w:rsid w:val="002D6E8A"/>
    <w:rsid w:val="002E0C53"/>
    <w:rsid w:val="002E14E6"/>
    <w:rsid w:val="002E1D88"/>
    <w:rsid w:val="002E3CA0"/>
    <w:rsid w:val="002E4D20"/>
    <w:rsid w:val="002E7EDD"/>
    <w:rsid w:val="002F189D"/>
    <w:rsid w:val="002F5D92"/>
    <w:rsid w:val="002F5FE9"/>
    <w:rsid w:val="0030501D"/>
    <w:rsid w:val="003055A8"/>
    <w:rsid w:val="003058C2"/>
    <w:rsid w:val="00305BF8"/>
    <w:rsid w:val="00307DEB"/>
    <w:rsid w:val="00310FFA"/>
    <w:rsid w:val="00311279"/>
    <w:rsid w:val="003149D7"/>
    <w:rsid w:val="00315FC2"/>
    <w:rsid w:val="00316A2F"/>
    <w:rsid w:val="00317688"/>
    <w:rsid w:val="00320649"/>
    <w:rsid w:val="003224EA"/>
    <w:rsid w:val="00322B44"/>
    <w:rsid w:val="0033096B"/>
    <w:rsid w:val="00331346"/>
    <w:rsid w:val="00333F9B"/>
    <w:rsid w:val="00335614"/>
    <w:rsid w:val="00335B15"/>
    <w:rsid w:val="00336A7B"/>
    <w:rsid w:val="00336B9F"/>
    <w:rsid w:val="00340C5B"/>
    <w:rsid w:val="00344558"/>
    <w:rsid w:val="003471C6"/>
    <w:rsid w:val="00353144"/>
    <w:rsid w:val="003554E5"/>
    <w:rsid w:val="00355D6F"/>
    <w:rsid w:val="00355EB1"/>
    <w:rsid w:val="003628D1"/>
    <w:rsid w:val="00364207"/>
    <w:rsid w:val="00367A6F"/>
    <w:rsid w:val="003728F7"/>
    <w:rsid w:val="00373508"/>
    <w:rsid w:val="00373E14"/>
    <w:rsid w:val="00373E25"/>
    <w:rsid w:val="003743BD"/>
    <w:rsid w:val="00376017"/>
    <w:rsid w:val="0037739E"/>
    <w:rsid w:val="00380F08"/>
    <w:rsid w:val="00381910"/>
    <w:rsid w:val="00382397"/>
    <w:rsid w:val="00383621"/>
    <w:rsid w:val="00384970"/>
    <w:rsid w:val="00384B57"/>
    <w:rsid w:val="00386DDD"/>
    <w:rsid w:val="003870E6"/>
    <w:rsid w:val="00387D69"/>
    <w:rsid w:val="00392085"/>
    <w:rsid w:val="003957C8"/>
    <w:rsid w:val="003A13A2"/>
    <w:rsid w:val="003A1D1C"/>
    <w:rsid w:val="003A453E"/>
    <w:rsid w:val="003A4CA1"/>
    <w:rsid w:val="003A6AD2"/>
    <w:rsid w:val="003B0684"/>
    <w:rsid w:val="003B0DBC"/>
    <w:rsid w:val="003C0A2F"/>
    <w:rsid w:val="003C0AC8"/>
    <w:rsid w:val="003C1DC7"/>
    <w:rsid w:val="003C648F"/>
    <w:rsid w:val="003D1113"/>
    <w:rsid w:val="003D129F"/>
    <w:rsid w:val="003D3759"/>
    <w:rsid w:val="003D5358"/>
    <w:rsid w:val="003E1DA5"/>
    <w:rsid w:val="003E4021"/>
    <w:rsid w:val="003E509B"/>
    <w:rsid w:val="003E68F0"/>
    <w:rsid w:val="003F2816"/>
    <w:rsid w:val="003F5038"/>
    <w:rsid w:val="00401B1F"/>
    <w:rsid w:val="00401EA5"/>
    <w:rsid w:val="0040277B"/>
    <w:rsid w:val="0040293B"/>
    <w:rsid w:val="00406A7D"/>
    <w:rsid w:val="0040795A"/>
    <w:rsid w:val="00411359"/>
    <w:rsid w:val="00412A2B"/>
    <w:rsid w:val="0041567E"/>
    <w:rsid w:val="004161EB"/>
    <w:rsid w:val="00417254"/>
    <w:rsid w:val="00423677"/>
    <w:rsid w:val="00425F1F"/>
    <w:rsid w:val="004304E5"/>
    <w:rsid w:val="00437541"/>
    <w:rsid w:val="0044099A"/>
    <w:rsid w:val="00441B3F"/>
    <w:rsid w:val="0044396A"/>
    <w:rsid w:val="00444F9C"/>
    <w:rsid w:val="0044573B"/>
    <w:rsid w:val="00446323"/>
    <w:rsid w:val="00446FED"/>
    <w:rsid w:val="00447593"/>
    <w:rsid w:val="00447C3B"/>
    <w:rsid w:val="004507F4"/>
    <w:rsid w:val="004523CD"/>
    <w:rsid w:val="00453D62"/>
    <w:rsid w:val="0045416A"/>
    <w:rsid w:val="00454B16"/>
    <w:rsid w:val="004553FD"/>
    <w:rsid w:val="0045705A"/>
    <w:rsid w:val="004600DF"/>
    <w:rsid w:val="00460633"/>
    <w:rsid w:val="00460E00"/>
    <w:rsid w:val="004655FA"/>
    <w:rsid w:val="00474176"/>
    <w:rsid w:val="004750E0"/>
    <w:rsid w:val="00475B1C"/>
    <w:rsid w:val="00480609"/>
    <w:rsid w:val="0048614A"/>
    <w:rsid w:val="00491AF2"/>
    <w:rsid w:val="00492866"/>
    <w:rsid w:val="00493679"/>
    <w:rsid w:val="0049574B"/>
    <w:rsid w:val="004962F2"/>
    <w:rsid w:val="004963ED"/>
    <w:rsid w:val="004976ED"/>
    <w:rsid w:val="00497F9F"/>
    <w:rsid w:val="004A0185"/>
    <w:rsid w:val="004A31FE"/>
    <w:rsid w:val="004B28BA"/>
    <w:rsid w:val="004B3B67"/>
    <w:rsid w:val="004B4532"/>
    <w:rsid w:val="004B55A4"/>
    <w:rsid w:val="004B61B6"/>
    <w:rsid w:val="004B67EA"/>
    <w:rsid w:val="004B6D85"/>
    <w:rsid w:val="004B6F07"/>
    <w:rsid w:val="004B76F1"/>
    <w:rsid w:val="004C1421"/>
    <w:rsid w:val="004C76E6"/>
    <w:rsid w:val="004D14B2"/>
    <w:rsid w:val="004D36E6"/>
    <w:rsid w:val="004F17E9"/>
    <w:rsid w:val="004F1E13"/>
    <w:rsid w:val="004F2174"/>
    <w:rsid w:val="004F21EB"/>
    <w:rsid w:val="0050148C"/>
    <w:rsid w:val="00505929"/>
    <w:rsid w:val="00506656"/>
    <w:rsid w:val="0051142E"/>
    <w:rsid w:val="00515489"/>
    <w:rsid w:val="00517237"/>
    <w:rsid w:val="005173A5"/>
    <w:rsid w:val="00520DEE"/>
    <w:rsid w:val="00522A4A"/>
    <w:rsid w:val="005247A9"/>
    <w:rsid w:val="00530F4B"/>
    <w:rsid w:val="005354FC"/>
    <w:rsid w:val="0054121B"/>
    <w:rsid w:val="00544CC2"/>
    <w:rsid w:val="00546839"/>
    <w:rsid w:val="00550BF8"/>
    <w:rsid w:val="005515F4"/>
    <w:rsid w:val="00551F00"/>
    <w:rsid w:val="00553380"/>
    <w:rsid w:val="005540A1"/>
    <w:rsid w:val="00556BFE"/>
    <w:rsid w:val="00557894"/>
    <w:rsid w:val="00557B00"/>
    <w:rsid w:val="0056039E"/>
    <w:rsid w:val="00560B9A"/>
    <w:rsid w:val="00562E08"/>
    <w:rsid w:val="005639E7"/>
    <w:rsid w:val="00566180"/>
    <w:rsid w:val="005708CA"/>
    <w:rsid w:val="005717A7"/>
    <w:rsid w:val="00572E09"/>
    <w:rsid w:val="005746D9"/>
    <w:rsid w:val="00574DF5"/>
    <w:rsid w:val="00577592"/>
    <w:rsid w:val="0058317F"/>
    <w:rsid w:val="00585C5A"/>
    <w:rsid w:val="00585DD6"/>
    <w:rsid w:val="0058645F"/>
    <w:rsid w:val="00586514"/>
    <w:rsid w:val="00590739"/>
    <w:rsid w:val="00597348"/>
    <w:rsid w:val="005A0950"/>
    <w:rsid w:val="005A141D"/>
    <w:rsid w:val="005A270C"/>
    <w:rsid w:val="005B1C0D"/>
    <w:rsid w:val="005B239C"/>
    <w:rsid w:val="005B290D"/>
    <w:rsid w:val="005B4BD7"/>
    <w:rsid w:val="005C23DB"/>
    <w:rsid w:val="005C48A9"/>
    <w:rsid w:val="005D4504"/>
    <w:rsid w:val="005D4929"/>
    <w:rsid w:val="005D6772"/>
    <w:rsid w:val="005D6A00"/>
    <w:rsid w:val="005D72B7"/>
    <w:rsid w:val="005D7BB6"/>
    <w:rsid w:val="005E1431"/>
    <w:rsid w:val="005E1E73"/>
    <w:rsid w:val="005E53A6"/>
    <w:rsid w:val="005E574A"/>
    <w:rsid w:val="005E5FCE"/>
    <w:rsid w:val="005E65EC"/>
    <w:rsid w:val="005F1CD0"/>
    <w:rsid w:val="005F3829"/>
    <w:rsid w:val="005F3DFB"/>
    <w:rsid w:val="005F3E9A"/>
    <w:rsid w:val="005F498B"/>
    <w:rsid w:val="0060015C"/>
    <w:rsid w:val="0060062F"/>
    <w:rsid w:val="00605AFC"/>
    <w:rsid w:val="006103C3"/>
    <w:rsid w:val="006147F8"/>
    <w:rsid w:val="0062073C"/>
    <w:rsid w:val="00620880"/>
    <w:rsid w:val="00622CC1"/>
    <w:rsid w:val="00624ADE"/>
    <w:rsid w:val="0062614F"/>
    <w:rsid w:val="006273B5"/>
    <w:rsid w:val="00632FB2"/>
    <w:rsid w:val="00635ED0"/>
    <w:rsid w:val="0064682F"/>
    <w:rsid w:val="00647000"/>
    <w:rsid w:val="00650B30"/>
    <w:rsid w:val="00651A86"/>
    <w:rsid w:val="006533CA"/>
    <w:rsid w:val="00653C81"/>
    <w:rsid w:val="006559A9"/>
    <w:rsid w:val="00657806"/>
    <w:rsid w:val="00661088"/>
    <w:rsid w:val="00670EF8"/>
    <w:rsid w:val="006730B3"/>
    <w:rsid w:val="0067414C"/>
    <w:rsid w:val="0068068B"/>
    <w:rsid w:val="00683B01"/>
    <w:rsid w:val="00685860"/>
    <w:rsid w:val="00687D38"/>
    <w:rsid w:val="006923CC"/>
    <w:rsid w:val="006971D8"/>
    <w:rsid w:val="006A0CE5"/>
    <w:rsid w:val="006A0E2E"/>
    <w:rsid w:val="006A1B78"/>
    <w:rsid w:val="006A209B"/>
    <w:rsid w:val="006A5112"/>
    <w:rsid w:val="006A6299"/>
    <w:rsid w:val="006A63BE"/>
    <w:rsid w:val="006A6F44"/>
    <w:rsid w:val="006A7B5C"/>
    <w:rsid w:val="006B011E"/>
    <w:rsid w:val="006B4DCC"/>
    <w:rsid w:val="006C4B08"/>
    <w:rsid w:val="006C58B6"/>
    <w:rsid w:val="006D3AA0"/>
    <w:rsid w:val="006D3F64"/>
    <w:rsid w:val="006D5935"/>
    <w:rsid w:val="006D59DC"/>
    <w:rsid w:val="006D7B2E"/>
    <w:rsid w:val="006E08AC"/>
    <w:rsid w:val="006E254E"/>
    <w:rsid w:val="006E45DF"/>
    <w:rsid w:val="006E685D"/>
    <w:rsid w:val="006E6F04"/>
    <w:rsid w:val="006F1D43"/>
    <w:rsid w:val="006F250D"/>
    <w:rsid w:val="006F31EF"/>
    <w:rsid w:val="006F3F0D"/>
    <w:rsid w:val="006F3FE4"/>
    <w:rsid w:val="006F6D28"/>
    <w:rsid w:val="006F7EAA"/>
    <w:rsid w:val="00701CD4"/>
    <w:rsid w:val="00701DE4"/>
    <w:rsid w:val="0070439E"/>
    <w:rsid w:val="007043DD"/>
    <w:rsid w:val="007049EE"/>
    <w:rsid w:val="007066E3"/>
    <w:rsid w:val="007074BE"/>
    <w:rsid w:val="00707638"/>
    <w:rsid w:val="00711E1A"/>
    <w:rsid w:val="00712BDC"/>
    <w:rsid w:val="00716B2B"/>
    <w:rsid w:val="00720098"/>
    <w:rsid w:val="007212C7"/>
    <w:rsid w:val="007215CC"/>
    <w:rsid w:val="0072257B"/>
    <w:rsid w:val="00722937"/>
    <w:rsid w:val="00723962"/>
    <w:rsid w:val="007252CE"/>
    <w:rsid w:val="007268CD"/>
    <w:rsid w:val="00726D4E"/>
    <w:rsid w:val="00733860"/>
    <w:rsid w:val="00737C48"/>
    <w:rsid w:val="00740988"/>
    <w:rsid w:val="00742AD0"/>
    <w:rsid w:val="007468A0"/>
    <w:rsid w:val="007470EA"/>
    <w:rsid w:val="007508DC"/>
    <w:rsid w:val="00751B6A"/>
    <w:rsid w:val="00754C4C"/>
    <w:rsid w:val="00755AA0"/>
    <w:rsid w:val="00761DBF"/>
    <w:rsid w:val="00762938"/>
    <w:rsid w:val="00766AF1"/>
    <w:rsid w:val="007839D5"/>
    <w:rsid w:val="007844C2"/>
    <w:rsid w:val="00785C5C"/>
    <w:rsid w:val="00797F57"/>
    <w:rsid w:val="007A2EEE"/>
    <w:rsid w:val="007A50A1"/>
    <w:rsid w:val="007A6A85"/>
    <w:rsid w:val="007B029B"/>
    <w:rsid w:val="007B1DF8"/>
    <w:rsid w:val="007B2DE7"/>
    <w:rsid w:val="007B51D9"/>
    <w:rsid w:val="007B6F21"/>
    <w:rsid w:val="007B720A"/>
    <w:rsid w:val="007C2092"/>
    <w:rsid w:val="007D0737"/>
    <w:rsid w:val="007D10AA"/>
    <w:rsid w:val="007D38E0"/>
    <w:rsid w:val="007D4E20"/>
    <w:rsid w:val="007D5591"/>
    <w:rsid w:val="007D5AB6"/>
    <w:rsid w:val="007E04D5"/>
    <w:rsid w:val="007E35CD"/>
    <w:rsid w:val="007E4F2C"/>
    <w:rsid w:val="007E7BF7"/>
    <w:rsid w:val="007F0793"/>
    <w:rsid w:val="007F51D0"/>
    <w:rsid w:val="007F65B4"/>
    <w:rsid w:val="00800B87"/>
    <w:rsid w:val="00800C32"/>
    <w:rsid w:val="00803D56"/>
    <w:rsid w:val="00811F30"/>
    <w:rsid w:val="00812C79"/>
    <w:rsid w:val="0081486B"/>
    <w:rsid w:val="00815BD2"/>
    <w:rsid w:val="00817ED5"/>
    <w:rsid w:val="00817F48"/>
    <w:rsid w:val="00821BAF"/>
    <w:rsid w:val="008235C4"/>
    <w:rsid w:val="008235F2"/>
    <w:rsid w:val="008257DC"/>
    <w:rsid w:val="00825F38"/>
    <w:rsid w:val="00827B84"/>
    <w:rsid w:val="008309DE"/>
    <w:rsid w:val="00831633"/>
    <w:rsid w:val="00834946"/>
    <w:rsid w:val="008355DE"/>
    <w:rsid w:val="00835ABA"/>
    <w:rsid w:val="00836761"/>
    <w:rsid w:val="00837B33"/>
    <w:rsid w:val="0084049D"/>
    <w:rsid w:val="008420F5"/>
    <w:rsid w:val="0084313C"/>
    <w:rsid w:val="00843A62"/>
    <w:rsid w:val="00843DBD"/>
    <w:rsid w:val="00845CFD"/>
    <w:rsid w:val="00845D95"/>
    <w:rsid w:val="00847200"/>
    <w:rsid w:val="00850212"/>
    <w:rsid w:val="00850D8D"/>
    <w:rsid w:val="0085685B"/>
    <w:rsid w:val="00857602"/>
    <w:rsid w:val="008803FC"/>
    <w:rsid w:val="00882820"/>
    <w:rsid w:val="008829D2"/>
    <w:rsid w:val="00885952"/>
    <w:rsid w:val="008873F4"/>
    <w:rsid w:val="00893553"/>
    <w:rsid w:val="008A27D9"/>
    <w:rsid w:val="008A3050"/>
    <w:rsid w:val="008A390C"/>
    <w:rsid w:val="008A479F"/>
    <w:rsid w:val="008B6947"/>
    <w:rsid w:val="008C0466"/>
    <w:rsid w:val="008C45EA"/>
    <w:rsid w:val="008C695E"/>
    <w:rsid w:val="008C7B7F"/>
    <w:rsid w:val="008D06E6"/>
    <w:rsid w:val="008D1AC1"/>
    <w:rsid w:val="008D2E1B"/>
    <w:rsid w:val="008D3728"/>
    <w:rsid w:val="008D4E78"/>
    <w:rsid w:val="008D72A3"/>
    <w:rsid w:val="008E20BC"/>
    <w:rsid w:val="008E261F"/>
    <w:rsid w:val="008E3654"/>
    <w:rsid w:val="008E7204"/>
    <w:rsid w:val="008F4A29"/>
    <w:rsid w:val="008F6997"/>
    <w:rsid w:val="00900FB4"/>
    <w:rsid w:val="00902AF1"/>
    <w:rsid w:val="00903FD0"/>
    <w:rsid w:val="00904402"/>
    <w:rsid w:val="009049E5"/>
    <w:rsid w:val="009101E9"/>
    <w:rsid w:val="0091760E"/>
    <w:rsid w:val="009178CE"/>
    <w:rsid w:val="009233FE"/>
    <w:rsid w:val="00927145"/>
    <w:rsid w:val="00927C56"/>
    <w:rsid w:val="00932ECB"/>
    <w:rsid w:val="00933409"/>
    <w:rsid w:val="00933E44"/>
    <w:rsid w:val="0093444B"/>
    <w:rsid w:val="00934CD6"/>
    <w:rsid w:val="00936C31"/>
    <w:rsid w:val="0094146B"/>
    <w:rsid w:val="00942663"/>
    <w:rsid w:val="009433BB"/>
    <w:rsid w:val="00945396"/>
    <w:rsid w:val="00947D1A"/>
    <w:rsid w:val="00955603"/>
    <w:rsid w:val="00965F1B"/>
    <w:rsid w:val="00967245"/>
    <w:rsid w:val="00967DB2"/>
    <w:rsid w:val="009734FE"/>
    <w:rsid w:val="00974120"/>
    <w:rsid w:val="00977D9F"/>
    <w:rsid w:val="009807F0"/>
    <w:rsid w:val="00982F15"/>
    <w:rsid w:val="00983CFD"/>
    <w:rsid w:val="00983D2C"/>
    <w:rsid w:val="009841B0"/>
    <w:rsid w:val="009845D5"/>
    <w:rsid w:val="00990A52"/>
    <w:rsid w:val="00991A21"/>
    <w:rsid w:val="00995181"/>
    <w:rsid w:val="0099533D"/>
    <w:rsid w:val="00996D91"/>
    <w:rsid w:val="00996FC7"/>
    <w:rsid w:val="009A26A3"/>
    <w:rsid w:val="009A2AC1"/>
    <w:rsid w:val="009A73E9"/>
    <w:rsid w:val="009B07B3"/>
    <w:rsid w:val="009B1438"/>
    <w:rsid w:val="009B2302"/>
    <w:rsid w:val="009B71B9"/>
    <w:rsid w:val="009C10C7"/>
    <w:rsid w:val="009C1C05"/>
    <w:rsid w:val="009C2631"/>
    <w:rsid w:val="009C497E"/>
    <w:rsid w:val="009C63EC"/>
    <w:rsid w:val="009C6612"/>
    <w:rsid w:val="009C7542"/>
    <w:rsid w:val="009D0F09"/>
    <w:rsid w:val="009D4F90"/>
    <w:rsid w:val="009E0B6E"/>
    <w:rsid w:val="009E5B09"/>
    <w:rsid w:val="009E620D"/>
    <w:rsid w:val="009E66E9"/>
    <w:rsid w:val="009F0049"/>
    <w:rsid w:val="009F009F"/>
    <w:rsid w:val="009F057D"/>
    <w:rsid w:val="009F1C67"/>
    <w:rsid w:val="009F4616"/>
    <w:rsid w:val="009F56A0"/>
    <w:rsid w:val="009F6E36"/>
    <w:rsid w:val="00A001B3"/>
    <w:rsid w:val="00A00B3A"/>
    <w:rsid w:val="00A0538F"/>
    <w:rsid w:val="00A0555B"/>
    <w:rsid w:val="00A15133"/>
    <w:rsid w:val="00A17A9D"/>
    <w:rsid w:val="00A23D0D"/>
    <w:rsid w:val="00A304A5"/>
    <w:rsid w:val="00A308CC"/>
    <w:rsid w:val="00A34907"/>
    <w:rsid w:val="00A41970"/>
    <w:rsid w:val="00A4200F"/>
    <w:rsid w:val="00A42609"/>
    <w:rsid w:val="00A42A8F"/>
    <w:rsid w:val="00A42F5C"/>
    <w:rsid w:val="00A52A2F"/>
    <w:rsid w:val="00A54601"/>
    <w:rsid w:val="00A54B90"/>
    <w:rsid w:val="00A57E4E"/>
    <w:rsid w:val="00A6234C"/>
    <w:rsid w:val="00A647EE"/>
    <w:rsid w:val="00A6652C"/>
    <w:rsid w:val="00A70015"/>
    <w:rsid w:val="00A703C6"/>
    <w:rsid w:val="00A728FD"/>
    <w:rsid w:val="00A746A2"/>
    <w:rsid w:val="00A746F8"/>
    <w:rsid w:val="00A7527C"/>
    <w:rsid w:val="00A77641"/>
    <w:rsid w:val="00A810E8"/>
    <w:rsid w:val="00A834BE"/>
    <w:rsid w:val="00A868DF"/>
    <w:rsid w:val="00A92746"/>
    <w:rsid w:val="00A9279E"/>
    <w:rsid w:val="00A93C32"/>
    <w:rsid w:val="00A97768"/>
    <w:rsid w:val="00AA195B"/>
    <w:rsid w:val="00AA1B08"/>
    <w:rsid w:val="00AA559F"/>
    <w:rsid w:val="00AA6730"/>
    <w:rsid w:val="00AA69BA"/>
    <w:rsid w:val="00AA6C15"/>
    <w:rsid w:val="00AA6EA5"/>
    <w:rsid w:val="00AA6EF6"/>
    <w:rsid w:val="00AB05BC"/>
    <w:rsid w:val="00AB20A5"/>
    <w:rsid w:val="00AB2B16"/>
    <w:rsid w:val="00AB4E76"/>
    <w:rsid w:val="00AB7953"/>
    <w:rsid w:val="00AC0695"/>
    <w:rsid w:val="00AC1642"/>
    <w:rsid w:val="00AC20C9"/>
    <w:rsid w:val="00AC2F19"/>
    <w:rsid w:val="00AC4334"/>
    <w:rsid w:val="00AD27E0"/>
    <w:rsid w:val="00AD56BC"/>
    <w:rsid w:val="00AD7001"/>
    <w:rsid w:val="00AD7E0D"/>
    <w:rsid w:val="00AE5D68"/>
    <w:rsid w:val="00AF02F0"/>
    <w:rsid w:val="00AF1679"/>
    <w:rsid w:val="00AF48B5"/>
    <w:rsid w:val="00AF5F49"/>
    <w:rsid w:val="00AF6B3D"/>
    <w:rsid w:val="00AF6FE2"/>
    <w:rsid w:val="00B015A1"/>
    <w:rsid w:val="00B0230A"/>
    <w:rsid w:val="00B02B89"/>
    <w:rsid w:val="00B04A45"/>
    <w:rsid w:val="00B04D51"/>
    <w:rsid w:val="00B0728D"/>
    <w:rsid w:val="00B12A0F"/>
    <w:rsid w:val="00B15965"/>
    <w:rsid w:val="00B17027"/>
    <w:rsid w:val="00B20D86"/>
    <w:rsid w:val="00B213F4"/>
    <w:rsid w:val="00B22870"/>
    <w:rsid w:val="00B3135F"/>
    <w:rsid w:val="00B31B61"/>
    <w:rsid w:val="00B32C5D"/>
    <w:rsid w:val="00B36395"/>
    <w:rsid w:val="00B41AA0"/>
    <w:rsid w:val="00B464F2"/>
    <w:rsid w:val="00B519C0"/>
    <w:rsid w:val="00B52800"/>
    <w:rsid w:val="00B53E7D"/>
    <w:rsid w:val="00B547F9"/>
    <w:rsid w:val="00B566BB"/>
    <w:rsid w:val="00B606E1"/>
    <w:rsid w:val="00B64235"/>
    <w:rsid w:val="00B64BB1"/>
    <w:rsid w:val="00B708FD"/>
    <w:rsid w:val="00B7097D"/>
    <w:rsid w:val="00B72721"/>
    <w:rsid w:val="00B7301C"/>
    <w:rsid w:val="00B77D88"/>
    <w:rsid w:val="00B82B3D"/>
    <w:rsid w:val="00B86EB9"/>
    <w:rsid w:val="00B87ECE"/>
    <w:rsid w:val="00B946A8"/>
    <w:rsid w:val="00B95D7E"/>
    <w:rsid w:val="00B97B8B"/>
    <w:rsid w:val="00BA1825"/>
    <w:rsid w:val="00BA2DFC"/>
    <w:rsid w:val="00BA7F73"/>
    <w:rsid w:val="00BB066B"/>
    <w:rsid w:val="00BB2A98"/>
    <w:rsid w:val="00BB47BD"/>
    <w:rsid w:val="00BB61A6"/>
    <w:rsid w:val="00BC0DD0"/>
    <w:rsid w:val="00BC18E8"/>
    <w:rsid w:val="00BC2996"/>
    <w:rsid w:val="00BC3D04"/>
    <w:rsid w:val="00BC77EB"/>
    <w:rsid w:val="00BC77F3"/>
    <w:rsid w:val="00BD271B"/>
    <w:rsid w:val="00BD31C8"/>
    <w:rsid w:val="00BD3D1E"/>
    <w:rsid w:val="00BD5D96"/>
    <w:rsid w:val="00BD5F05"/>
    <w:rsid w:val="00BD7718"/>
    <w:rsid w:val="00BE1EE1"/>
    <w:rsid w:val="00BE23ED"/>
    <w:rsid w:val="00BF1B54"/>
    <w:rsid w:val="00BF5725"/>
    <w:rsid w:val="00C0129A"/>
    <w:rsid w:val="00C01330"/>
    <w:rsid w:val="00C0207C"/>
    <w:rsid w:val="00C02106"/>
    <w:rsid w:val="00C03FA6"/>
    <w:rsid w:val="00C04E06"/>
    <w:rsid w:val="00C051C4"/>
    <w:rsid w:val="00C053FD"/>
    <w:rsid w:val="00C07929"/>
    <w:rsid w:val="00C1075B"/>
    <w:rsid w:val="00C10E9C"/>
    <w:rsid w:val="00C1197D"/>
    <w:rsid w:val="00C15073"/>
    <w:rsid w:val="00C20510"/>
    <w:rsid w:val="00C20C36"/>
    <w:rsid w:val="00C250FB"/>
    <w:rsid w:val="00C26600"/>
    <w:rsid w:val="00C33CAE"/>
    <w:rsid w:val="00C34049"/>
    <w:rsid w:val="00C423CB"/>
    <w:rsid w:val="00C42A0E"/>
    <w:rsid w:val="00C43384"/>
    <w:rsid w:val="00C436BB"/>
    <w:rsid w:val="00C4407D"/>
    <w:rsid w:val="00C4645C"/>
    <w:rsid w:val="00C5030D"/>
    <w:rsid w:val="00C5043E"/>
    <w:rsid w:val="00C618BE"/>
    <w:rsid w:val="00C61C68"/>
    <w:rsid w:val="00C62826"/>
    <w:rsid w:val="00C63AE0"/>
    <w:rsid w:val="00C651BA"/>
    <w:rsid w:val="00C65A47"/>
    <w:rsid w:val="00C6771F"/>
    <w:rsid w:val="00C71366"/>
    <w:rsid w:val="00C7221F"/>
    <w:rsid w:val="00C73CD1"/>
    <w:rsid w:val="00C810D0"/>
    <w:rsid w:val="00C84D54"/>
    <w:rsid w:val="00C86B6D"/>
    <w:rsid w:val="00CA0697"/>
    <w:rsid w:val="00CB3E64"/>
    <w:rsid w:val="00CB6180"/>
    <w:rsid w:val="00CB68FA"/>
    <w:rsid w:val="00CC2BF6"/>
    <w:rsid w:val="00CC311D"/>
    <w:rsid w:val="00CC7F60"/>
    <w:rsid w:val="00CD039F"/>
    <w:rsid w:val="00CD0FCB"/>
    <w:rsid w:val="00CD2785"/>
    <w:rsid w:val="00CD2A17"/>
    <w:rsid w:val="00CD4AB0"/>
    <w:rsid w:val="00CD5D3A"/>
    <w:rsid w:val="00CE0800"/>
    <w:rsid w:val="00CE373A"/>
    <w:rsid w:val="00CE5B5C"/>
    <w:rsid w:val="00CE644E"/>
    <w:rsid w:val="00CF18D5"/>
    <w:rsid w:val="00CF1DA0"/>
    <w:rsid w:val="00CF7CC5"/>
    <w:rsid w:val="00CF7EC1"/>
    <w:rsid w:val="00D000E7"/>
    <w:rsid w:val="00D0679E"/>
    <w:rsid w:val="00D109E0"/>
    <w:rsid w:val="00D11A85"/>
    <w:rsid w:val="00D12A3E"/>
    <w:rsid w:val="00D144F8"/>
    <w:rsid w:val="00D17675"/>
    <w:rsid w:val="00D2139E"/>
    <w:rsid w:val="00D21A3C"/>
    <w:rsid w:val="00D22484"/>
    <w:rsid w:val="00D25465"/>
    <w:rsid w:val="00D259F9"/>
    <w:rsid w:val="00D307D4"/>
    <w:rsid w:val="00D30B45"/>
    <w:rsid w:val="00D32C43"/>
    <w:rsid w:val="00D32CE7"/>
    <w:rsid w:val="00D357E5"/>
    <w:rsid w:val="00D358EC"/>
    <w:rsid w:val="00D36920"/>
    <w:rsid w:val="00D405EC"/>
    <w:rsid w:val="00D45B71"/>
    <w:rsid w:val="00D461C0"/>
    <w:rsid w:val="00D50343"/>
    <w:rsid w:val="00D508DB"/>
    <w:rsid w:val="00D50AF0"/>
    <w:rsid w:val="00D631ED"/>
    <w:rsid w:val="00D64085"/>
    <w:rsid w:val="00D64EB2"/>
    <w:rsid w:val="00D65D4A"/>
    <w:rsid w:val="00D67457"/>
    <w:rsid w:val="00D67D1B"/>
    <w:rsid w:val="00D7011F"/>
    <w:rsid w:val="00D71C72"/>
    <w:rsid w:val="00D7228C"/>
    <w:rsid w:val="00D72B84"/>
    <w:rsid w:val="00D72F93"/>
    <w:rsid w:val="00D73013"/>
    <w:rsid w:val="00D73BA2"/>
    <w:rsid w:val="00D7410A"/>
    <w:rsid w:val="00D75510"/>
    <w:rsid w:val="00D76635"/>
    <w:rsid w:val="00D81C06"/>
    <w:rsid w:val="00D82451"/>
    <w:rsid w:val="00D83E02"/>
    <w:rsid w:val="00D84180"/>
    <w:rsid w:val="00D85176"/>
    <w:rsid w:val="00D8660E"/>
    <w:rsid w:val="00D932E8"/>
    <w:rsid w:val="00D934F6"/>
    <w:rsid w:val="00D942E0"/>
    <w:rsid w:val="00D94794"/>
    <w:rsid w:val="00DA1F0E"/>
    <w:rsid w:val="00DA3CF8"/>
    <w:rsid w:val="00DA7B9E"/>
    <w:rsid w:val="00DB098D"/>
    <w:rsid w:val="00DB2499"/>
    <w:rsid w:val="00DB2627"/>
    <w:rsid w:val="00DB2FEF"/>
    <w:rsid w:val="00DB385E"/>
    <w:rsid w:val="00DC1C54"/>
    <w:rsid w:val="00DC7D02"/>
    <w:rsid w:val="00DD144B"/>
    <w:rsid w:val="00DD20A0"/>
    <w:rsid w:val="00DD337C"/>
    <w:rsid w:val="00DD3F0D"/>
    <w:rsid w:val="00DD4F86"/>
    <w:rsid w:val="00DD5D1C"/>
    <w:rsid w:val="00DE037E"/>
    <w:rsid w:val="00DE04B5"/>
    <w:rsid w:val="00DE31B8"/>
    <w:rsid w:val="00DF7D44"/>
    <w:rsid w:val="00DF7F09"/>
    <w:rsid w:val="00E007F3"/>
    <w:rsid w:val="00E03391"/>
    <w:rsid w:val="00E053F7"/>
    <w:rsid w:val="00E07CE4"/>
    <w:rsid w:val="00E106CD"/>
    <w:rsid w:val="00E12451"/>
    <w:rsid w:val="00E13E0E"/>
    <w:rsid w:val="00E157F0"/>
    <w:rsid w:val="00E163D3"/>
    <w:rsid w:val="00E22131"/>
    <w:rsid w:val="00E25496"/>
    <w:rsid w:val="00E2554B"/>
    <w:rsid w:val="00E3195C"/>
    <w:rsid w:val="00E32ABF"/>
    <w:rsid w:val="00E35250"/>
    <w:rsid w:val="00E357C3"/>
    <w:rsid w:val="00E373C4"/>
    <w:rsid w:val="00E417F4"/>
    <w:rsid w:val="00E431A2"/>
    <w:rsid w:val="00E43384"/>
    <w:rsid w:val="00E4454E"/>
    <w:rsid w:val="00E46E7D"/>
    <w:rsid w:val="00E52107"/>
    <w:rsid w:val="00E52662"/>
    <w:rsid w:val="00E543FF"/>
    <w:rsid w:val="00E5507E"/>
    <w:rsid w:val="00E66C7C"/>
    <w:rsid w:val="00E7156E"/>
    <w:rsid w:val="00E75657"/>
    <w:rsid w:val="00E75F76"/>
    <w:rsid w:val="00E77A9D"/>
    <w:rsid w:val="00E80970"/>
    <w:rsid w:val="00E81319"/>
    <w:rsid w:val="00E82516"/>
    <w:rsid w:val="00E83C65"/>
    <w:rsid w:val="00E84EC0"/>
    <w:rsid w:val="00E923C4"/>
    <w:rsid w:val="00E93276"/>
    <w:rsid w:val="00E9487C"/>
    <w:rsid w:val="00EA027E"/>
    <w:rsid w:val="00EA660B"/>
    <w:rsid w:val="00EA6995"/>
    <w:rsid w:val="00EB0D2F"/>
    <w:rsid w:val="00EB730B"/>
    <w:rsid w:val="00EB7FC7"/>
    <w:rsid w:val="00EC120E"/>
    <w:rsid w:val="00EC17D1"/>
    <w:rsid w:val="00EC559E"/>
    <w:rsid w:val="00EC5C0A"/>
    <w:rsid w:val="00EC62AF"/>
    <w:rsid w:val="00EC649C"/>
    <w:rsid w:val="00EC65B4"/>
    <w:rsid w:val="00EC689F"/>
    <w:rsid w:val="00EC7388"/>
    <w:rsid w:val="00ED00BE"/>
    <w:rsid w:val="00ED34F7"/>
    <w:rsid w:val="00ED43D7"/>
    <w:rsid w:val="00EE2420"/>
    <w:rsid w:val="00EE2937"/>
    <w:rsid w:val="00EF3B9F"/>
    <w:rsid w:val="00EF4BF7"/>
    <w:rsid w:val="00EF7F5C"/>
    <w:rsid w:val="00F00633"/>
    <w:rsid w:val="00F00FB6"/>
    <w:rsid w:val="00F03E02"/>
    <w:rsid w:val="00F03F63"/>
    <w:rsid w:val="00F05974"/>
    <w:rsid w:val="00F07505"/>
    <w:rsid w:val="00F10C0D"/>
    <w:rsid w:val="00F133FF"/>
    <w:rsid w:val="00F13EA6"/>
    <w:rsid w:val="00F14D84"/>
    <w:rsid w:val="00F16167"/>
    <w:rsid w:val="00F16E61"/>
    <w:rsid w:val="00F20E5D"/>
    <w:rsid w:val="00F233DF"/>
    <w:rsid w:val="00F31712"/>
    <w:rsid w:val="00F3246F"/>
    <w:rsid w:val="00F32C3A"/>
    <w:rsid w:val="00F416DB"/>
    <w:rsid w:val="00F45ED9"/>
    <w:rsid w:val="00F47A24"/>
    <w:rsid w:val="00F5223C"/>
    <w:rsid w:val="00F53710"/>
    <w:rsid w:val="00F55335"/>
    <w:rsid w:val="00F55D34"/>
    <w:rsid w:val="00F56909"/>
    <w:rsid w:val="00F60B59"/>
    <w:rsid w:val="00F668E6"/>
    <w:rsid w:val="00F72547"/>
    <w:rsid w:val="00F823E8"/>
    <w:rsid w:val="00F8261D"/>
    <w:rsid w:val="00F84FCB"/>
    <w:rsid w:val="00F915FB"/>
    <w:rsid w:val="00F93B09"/>
    <w:rsid w:val="00F95EF0"/>
    <w:rsid w:val="00F9626F"/>
    <w:rsid w:val="00FA00B8"/>
    <w:rsid w:val="00FA0C58"/>
    <w:rsid w:val="00FA113C"/>
    <w:rsid w:val="00FA246E"/>
    <w:rsid w:val="00FA34FF"/>
    <w:rsid w:val="00FA5E08"/>
    <w:rsid w:val="00FA6D0A"/>
    <w:rsid w:val="00FA70F2"/>
    <w:rsid w:val="00FB090E"/>
    <w:rsid w:val="00FB1CB0"/>
    <w:rsid w:val="00FB591D"/>
    <w:rsid w:val="00FB76CB"/>
    <w:rsid w:val="00FB7AE5"/>
    <w:rsid w:val="00FC316A"/>
    <w:rsid w:val="00FC412E"/>
    <w:rsid w:val="00FC5C1F"/>
    <w:rsid w:val="00FC6C28"/>
    <w:rsid w:val="00FC713A"/>
    <w:rsid w:val="00FD09F5"/>
    <w:rsid w:val="00FD320D"/>
    <w:rsid w:val="00FD42AB"/>
    <w:rsid w:val="00FD74F6"/>
    <w:rsid w:val="00FD7AA7"/>
    <w:rsid w:val="00FE271F"/>
    <w:rsid w:val="00FE48FB"/>
    <w:rsid w:val="00FF1072"/>
    <w:rsid w:val="00FF36B9"/>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B96D11"/>
  <w15:docId w15:val="{B00F0786-E145-4468-AA86-E2AEC80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color w:val="2D2D2D"/>
        <w:sz w:val="22"/>
        <w:szCs w:val="22"/>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3A"/>
    <w:pPr>
      <w:spacing w:after="120" w:line="240" w:lineRule="auto"/>
    </w:pPr>
    <w:rPr>
      <w:rFonts w:ascii="Arial" w:hAnsi="Arial"/>
      <w:sz w:val="20"/>
    </w:rPr>
  </w:style>
  <w:style w:type="paragraph" w:styleId="Heading1">
    <w:name w:val="heading 1"/>
    <w:basedOn w:val="Normal"/>
    <w:next w:val="Normal"/>
    <w:link w:val="Heading1Char"/>
    <w:uiPriority w:val="9"/>
    <w:qFormat/>
    <w:rsid w:val="00A9279E"/>
    <w:pPr>
      <w:keepNext/>
      <w:keepLines/>
      <w:spacing w:after="240"/>
      <w:outlineLvl w:val="0"/>
    </w:pPr>
    <w:rPr>
      <w:rFonts w:eastAsiaTheme="majorEastAsia" w:cstheme="majorBidi"/>
      <w:bCs/>
      <w:color w:val="679F00"/>
      <w:sz w:val="40"/>
      <w:szCs w:val="28"/>
    </w:rPr>
  </w:style>
  <w:style w:type="paragraph" w:styleId="Heading2">
    <w:name w:val="heading 2"/>
    <w:basedOn w:val="Normal"/>
    <w:next w:val="Normal"/>
    <w:link w:val="Heading2Char"/>
    <w:uiPriority w:val="9"/>
    <w:qFormat/>
    <w:rsid w:val="001A0122"/>
    <w:pPr>
      <w:keepNext/>
      <w:keepLines/>
      <w:spacing w:line="360" w:lineRule="auto"/>
      <w:outlineLvl w:val="1"/>
    </w:pPr>
    <w:rPr>
      <w:rFonts w:eastAsiaTheme="majorEastAsia" w:cstheme="majorBidi"/>
      <w:bCs/>
      <w:color w:val="003A63"/>
      <w:sz w:val="28"/>
      <w:szCs w:val="26"/>
    </w:rPr>
  </w:style>
  <w:style w:type="paragraph" w:styleId="Heading3">
    <w:name w:val="heading 3"/>
    <w:basedOn w:val="Normal"/>
    <w:next w:val="Normal"/>
    <w:link w:val="Heading3Char"/>
    <w:uiPriority w:val="9"/>
    <w:qFormat/>
    <w:rsid w:val="00651A86"/>
    <w:pPr>
      <w:keepNext/>
      <w:shd w:val="clear" w:color="auto" w:fill="003A63"/>
      <w:spacing w:before="120"/>
      <w:ind w:right="720"/>
      <w:outlineLvl w:val="2"/>
    </w:pPr>
    <w:rPr>
      <w:color w:val="FFFFFF" w:themeColor="background1"/>
    </w:rPr>
  </w:style>
  <w:style w:type="paragraph" w:styleId="Heading4">
    <w:name w:val="heading 4"/>
    <w:basedOn w:val="Normal"/>
    <w:next w:val="Normal"/>
    <w:link w:val="Heading4Char"/>
    <w:uiPriority w:val="9"/>
    <w:unhideWhenUsed/>
    <w:qFormat/>
    <w:rsid w:val="00380F08"/>
    <w:pPr>
      <w:keepNext/>
      <w:keepLines/>
      <w:outlineLvl w:val="3"/>
    </w:pPr>
    <w:rPr>
      <w:rFonts w:asciiTheme="majorHAnsi" w:eastAsiaTheme="majorEastAsia" w:hAnsiTheme="majorHAnsi" w:cstheme="majorBidi"/>
      <w:b/>
      <w:bCs/>
      <w:iCs/>
      <w:color w:val="003A5F" w:themeColor="text1"/>
    </w:rPr>
  </w:style>
  <w:style w:type="paragraph" w:styleId="Heading5">
    <w:name w:val="heading 5"/>
    <w:basedOn w:val="Normal"/>
    <w:next w:val="Normal"/>
    <w:link w:val="Heading5Char"/>
    <w:uiPriority w:val="9"/>
    <w:unhideWhenUsed/>
    <w:locked/>
    <w:rsid w:val="00380F0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qFormat/>
    <w:locked/>
    <w:rsid w:val="00825F38"/>
    <w:pPr>
      <w:keepNext/>
      <w:keepLines/>
      <w:outlineLvl w:val="5"/>
    </w:pPr>
    <w:rPr>
      <w:rFonts w:asciiTheme="majorHAnsi" w:eastAsiaTheme="majorEastAsia" w:hAnsiTheme="majorHAnsi" w:cstheme="majorBidi"/>
      <w:b/>
      <w:iCs/>
      <w:color w:val="A5C6EA" w:themeColor="background2"/>
    </w:rPr>
  </w:style>
  <w:style w:type="paragraph" w:styleId="Heading7">
    <w:name w:val="heading 7"/>
    <w:basedOn w:val="Normal"/>
    <w:next w:val="Normal"/>
    <w:link w:val="Heading7Char"/>
    <w:uiPriority w:val="9"/>
    <w:semiHidden/>
    <w:qFormat/>
    <w:locked/>
    <w:rsid w:val="00825F38"/>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qFormat/>
    <w:locked/>
    <w:rsid w:val="00825F38"/>
    <w:pPr>
      <w:keepNext/>
      <w:keepLines/>
      <w:outlineLvl w:val="7"/>
    </w:pPr>
    <w:rPr>
      <w:rFonts w:asciiTheme="majorHAnsi" w:eastAsiaTheme="majorEastAsia" w:hAnsiTheme="majorHAnsi" w:cstheme="majorBidi"/>
      <w:b/>
      <w:color w:val="2A588C" w:themeColor="accent5" w:themeShade="BF"/>
    </w:rPr>
  </w:style>
  <w:style w:type="paragraph" w:styleId="Heading9">
    <w:name w:val="heading 9"/>
    <w:basedOn w:val="Normal"/>
    <w:next w:val="Normal"/>
    <w:link w:val="Heading9Char"/>
    <w:uiPriority w:val="9"/>
    <w:semiHidden/>
    <w:qFormat/>
    <w:locked/>
    <w:rsid w:val="00825F38"/>
    <w:pPr>
      <w:keepNext/>
      <w:keepLines/>
      <w:outlineLvl w:val="8"/>
    </w:pPr>
    <w:rPr>
      <w:rFonts w:asciiTheme="majorHAnsi" w:eastAsiaTheme="majorEastAsia" w:hAnsiTheme="majorHAnsi" w:cstheme="majorBidi"/>
      <w:b/>
      <w:iCs/>
      <w:color w:val="BFBFBF" w:themeColor="background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79E"/>
    <w:rPr>
      <w:rFonts w:ascii="Arial" w:eastAsiaTheme="majorEastAsia" w:hAnsi="Arial" w:cstheme="majorBidi"/>
      <w:bCs/>
      <w:color w:val="679F00"/>
      <w:sz w:val="40"/>
      <w:szCs w:val="28"/>
    </w:rPr>
  </w:style>
  <w:style w:type="character" w:customStyle="1" w:styleId="Heading2Char">
    <w:name w:val="Heading 2 Char"/>
    <w:basedOn w:val="DefaultParagraphFont"/>
    <w:link w:val="Heading2"/>
    <w:uiPriority w:val="9"/>
    <w:rsid w:val="001A0122"/>
    <w:rPr>
      <w:rFonts w:ascii="Arial" w:eastAsiaTheme="majorEastAsia" w:hAnsi="Arial" w:cstheme="majorBidi"/>
      <w:bCs/>
      <w:color w:val="003A63"/>
      <w:sz w:val="28"/>
      <w:szCs w:val="26"/>
    </w:rPr>
  </w:style>
  <w:style w:type="character" w:customStyle="1" w:styleId="Heading3Char">
    <w:name w:val="Heading 3 Char"/>
    <w:basedOn w:val="DefaultParagraphFont"/>
    <w:link w:val="Heading3"/>
    <w:uiPriority w:val="9"/>
    <w:rsid w:val="00651A86"/>
    <w:rPr>
      <w:rFonts w:ascii="Arial" w:hAnsi="Arial"/>
      <w:color w:val="FFFFFF" w:themeColor="background1"/>
      <w:sz w:val="20"/>
      <w:shd w:val="clear" w:color="auto" w:fill="003A63"/>
    </w:rPr>
  </w:style>
  <w:style w:type="character" w:customStyle="1" w:styleId="Heading4Char">
    <w:name w:val="Heading 4 Char"/>
    <w:basedOn w:val="DefaultParagraphFont"/>
    <w:link w:val="Heading4"/>
    <w:uiPriority w:val="9"/>
    <w:rsid w:val="00380F08"/>
    <w:rPr>
      <w:rFonts w:asciiTheme="majorHAnsi" w:eastAsiaTheme="majorEastAsia" w:hAnsiTheme="majorHAnsi" w:cstheme="majorBidi"/>
      <w:b/>
      <w:bCs/>
      <w:iCs/>
      <w:color w:val="003A5F" w:themeColor="text1"/>
      <w:sz w:val="22"/>
    </w:rPr>
  </w:style>
  <w:style w:type="paragraph" w:customStyle="1" w:styleId="BasicParagraph">
    <w:name w:val="[Basic Paragraph]"/>
    <w:basedOn w:val="Normal"/>
    <w:uiPriority w:val="99"/>
    <w:locked/>
    <w:rsid w:val="00AA6EA5"/>
    <w:pPr>
      <w:autoSpaceDE w:val="0"/>
      <w:autoSpaceDN w:val="0"/>
      <w:adjustRightInd w:val="0"/>
      <w:spacing w:line="288" w:lineRule="auto"/>
      <w:textAlignment w:val="center"/>
    </w:pPr>
    <w:rPr>
      <w:rFonts w:asciiTheme="minorHAnsi" w:eastAsiaTheme="minorHAnsi" w:hAnsiTheme="minorHAnsi" w:cs="Minion Pro"/>
      <w:szCs w:val="24"/>
    </w:rPr>
  </w:style>
  <w:style w:type="paragraph" w:styleId="Title">
    <w:name w:val="Title"/>
    <w:basedOn w:val="Normal"/>
    <w:next w:val="Heading1"/>
    <w:link w:val="TitleChar"/>
    <w:uiPriority w:val="10"/>
    <w:qFormat/>
    <w:rsid w:val="00797F57"/>
    <w:pPr>
      <w:spacing w:after="480"/>
      <w:contextualSpacing/>
    </w:pPr>
    <w:rPr>
      <w:rFonts w:asciiTheme="majorHAnsi" w:eastAsiaTheme="majorEastAsia" w:hAnsiTheme="majorHAnsi" w:cstheme="majorBidi"/>
      <w:color w:val="F2F2F2" w:themeColor="background1" w:themeShade="F2"/>
      <w:spacing w:val="5"/>
      <w:kern w:val="28"/>
      <w:sz w:val="72"/>
      <w:szCs w:val="52"/>
    </w:rPr>
  </w:style>
  <w:style w:type="character" w:customStyle="1" w:styleId="TitleChar">
    <w:name w:val="Title Char"/>
    <w:basedOn w:val="DefaultParagraphFont"/>
    <w:link w:val="Title"/>
    <w:uiPriority w:val="10"/>
    <w:rsid w:val="00797F57"/>
    <w:rPr>
      <w:rFonts w:asciiTheme="majorHAnsi" w:eastAsiaTheme="majorEastAsia" w:hAnsiTheme="majorHAnsi" w:cstheme="majorBidi"/>
      <w:color w:val="F2F2F2" w:themeColor="background1" w:themeShade="F2"/>
      <w:spacing w:val="5"/>
      <w:kern w:val="28"/>
      <w:sz w:val="72"/>
      <w:szCs w:val="52"/>
    </w:rPr>
  </w:style>
  <w:style w:type="paragraph" w:styleId="ListParagraph">
    <w:name w:val="List Paragraph"/>
    <w:basedOn w:val="Normal"/>
    <w:link w:val="ListParagraphChar"/>
    <w:uiPriority w:val="34"/>
    <w:unhideWhenUsed/>
    <w:qFormat/>
    <w:locked/>
    <w:rsid w:val="004D14B2"/>
    <w:pPr>
      <w:numPr>
        <w:numId w:val="1"/>
      </w:numPr>
    </w:pPr>
    <w:rPr>
      <w:rFonts w:eastAsiaTheme="minorHAnsi"/>
    </w:rPr>
  </w:style>
  <w:style w:type="numbering" w:customStyle="1" w:styleId="ListBullet1">
    <w:name w:val="List Bullet1"/>
    <w:uiPriority w:val="99"/>
    <w:rsid w:val="00364207"/>
    <w:pPr>
      <w:numPr>
        <w:numId w:val="2"/>
      </w:numPr>
    </w:pPr>
  </w:style>
  <w:style w:type="character" w:customStyle="1" w:styleId="Heading5Char">
    <w:name w:val="Heading 5 Char"/>
    <w:basedOn w:val="DefaultParagraphFont"/>
    <w:link w:val="Heading5"/>
    <w:uiPriority w:val="9"/>
    <w:rsid w:val="00380F08"/>
    <w:rPr>
      <w:rFonts w:asciiTheme="majorHAnsi" w:eastAsiaTheme="majorEastAsia" w:hAnsiTheme="majorHAnsi" w:cstheme="majorBidi"/>
      <w:b/>
      <w:sz w:val="22"/>
    </w:rPr>
  </w:style>
  <w:style w:type="character" w:customStyle="1" w:styleId="Heading6Char">
    <w:name w:val="Heading 6 Char"/>
    <w:basedOn w:val="DefaultParagraphFont"/>
    <w:link w:val="Heading6"/>
    <w:uiPriority w:val="9"/>
    <w:semiHidden/>
    <w:rsid w:val="00B519C0"/>
    <w:rPr>
      <w:rFonts w:asciiTheme="majorHAnsi" w:eastAsiaTheme="majorEastAsia" w:hAnsiTheme="majorHAnsi" w:cstheme="majorBidi"/>
      <w:b/>
      <w:iCs/>
      <w:color w:val="A5C6EA" w:themeColor="background2"/>
      <w:sz w:val="20"/>
    </w:rPr>
  </w:style>
  <w:style w:type="character" w:customStyle="1" w:styleId="Heading7Char">
    <w:name w:val="Heading 7 Char"/>
    <w:basedOn w:val="DefaultParagraphFont"/>
    <w:link w:val="Heading7"/>
    <w:uiPriority w:val="9"/>
    <w:semiHidden/>
    <w:rsid w:val="00B519C0"/>
    <w:rPr>
      <w:rFonts w:asciiTheme="majorHAnsi" w:eastAsiaTheme="majorEastAsia" w:hAnsiTheme="majorHAnsi" w:cstheme="majorBidi"/>
      <w:b/>
      <w:iCs/>
      <w:color w:val="1C3B5E" w:themeColor="accent5" w:themeShade="80"/>
      <w:sz w:val="20"/>
    </w:rPr>
  </w:style>
  <w:style w:type="character" w:customStyle="1" w:styleId="Heading8Char">
    <w:name w:val="Heading 8 Char"/>
    <w:basedOn w:val="DefaultParagraphFont"/>
    <w:link w:val="Heading8"/>
    <w:uiPriority w:val="9"/>
    <w:semiHidden/>
    <w:rsid w:val="00B519C0"/>
    <w:rPr>
      <w:rFonts w:asciiTheme="majorHAnsi" w:eastAsiaTheme="majorEastAsia" w:hAnsiTheme="majorHAnsi" w:cstheme="majorBidi"/>
      <w:b/>
      <w:color w:val="2A588C" w:themeColor="accent5" w:themeShade="BF"/>
      <w:sz w:val="20"/>
      <w:szCs w:val="20"/>
    </w:rPr>
  </w:style>
  <w:style w:type="character" w:customStyle="1" w:styleId="Heading9Char">
    <w:name w:val="Heading 9 Char"/>
    <w:basedOn w:val="DefaultParagraphFont"/>
    <w:link w:val="Heading9"/>
    <w:uiPriority w:val="9"/>
    <w:semiHidden/>
    <w:rsid w:val="00B519C0"/>
    <w:rPr>
      <w:rFonts w:asciiTheme="majorHAnsi" w:eastAsiaTheme="majorEastAsia" w:hAnsiTheme="majorHAnsi" w:cstheme="majorBidi"/>
      <w:b/>
      <w:iCs/>
      <w:color w:val="BFBFBF" w:themeColor="background1" w:themeShade="BF"/>
      <w:sz w:val="20"/>
      <w:szCs w:val="20"/>
    </w:rPr>
  </w:style>
  <w:style w:type="paragraph" w:styleId="Quote">
    <w:name w:val="Quote"/>
    <w:basedOn w:val="Normal"/>
    <w:next w:val="QuoteAttribute"/>
    <w:link w:val="QuoteChar"/>
    <w:uiPriority w:val="29"/>
    <w:qFormat/>
    <w:rsid w:val="00D358EC"/>
    <w:pPr>
      <w:spacing w:line="312" w:lineRule="auto"/>
    </w:pPr>
    <w:rPr>
      <w:i/>
      <w:iCs/>
      <w:color w:val="00599C" w:themeColor="text2"/>
      <w:sz w:val="24"/>
    </w:rPr>
  </w:style>
  <w:style w:type="character" w:customStyle="1" w:styleId="QuoteChar">
    <w:name w:val="Quote Char"/>
    <w:basedOn w:val="DefaultParagraphFont"/>
    <w:link w:val="Quote"/>
    <w:uiPriority w:val="29"/>
    <w:rsid w:val="00D358EC"/>
    <w:rPr>
      <w:i/>
      <w:iCs/>
      <w:color w:val="00599C" w:themeColor="text2"/>
      <w:sz w:val="24"/>
    </w:rPr>
  </w:style>
  <w:style w:type="paragraph" w:customStyle="1" w:styleId="CallOut">
    <w:name w:val="Call Out"/>
    <w:uiPriority w:val="1"/>
    <w:qFormat/>
    <w:rsid w:val="00FC713A"/>
    <w:pPr>
      <w:framePr w:hSpace="432" w:vSpace="432" w:wrap="around" w:vAnchor="text" w:hAnchor="text" w:y="1"/>
      <w:pBdr>
        <w:top w:val="single" w:sz="48" w:space="1" w:color="B4DBF5"/>
        <w:left w:val="single" w:sz="48" w:space="4" w:color="B4DBF5"/>
        <w:bottom w:val="single" w:sz="48" w:space="1" w:color="B4DBF5"/>
        <w:right w:val="single" w:sz="48" w:space="4" w:color="B4DBF5"/>
      </w:pBdr>
      <w:shd w:val="clear" w:color="auto" w:fill="B4DBF5"/>
    </w:pPr>
    <w:rPr>
      <w:rFonts w:ascii="Arial" w:hAnsi="Arial"/>
      <w:i/>
      <w:color w:val="auto"/>
      <w:sz w:val="20"/>
    </w:rPr>
  </w:style>
  <w:style w:type="paragraph" w:styleId="Header">
    <w:name w:val="header"/>
    <w:basedOn w:val="Normal"/>
    <w:link w:val="HeaderChar"/>
    <w:uiPriority w:val="99"/>
    <w:unhideWhenUsed/>
    <w:rsid w:val="002E4D20"/>
    <w:pPr>
      <w:tabs>
        <w:tab w:val="center" w:pos="4680"/>
        <w:tab w:val="right" w:pos="9360"/>
      </w:tabs>
    </w:pPr>
  </w:style>
  <w:style w:type="character" w:customStyle="1" w:styleId="HeaderChar">
    <w:name w:val="Header Char"/>
    <w:basedOn w:val="DefaultParagraphFont"/>
    <w:link w:val="Header"/>
    <w:uiPriority w:val="99"/>
    <w:rsid w:val="002E4D20"/>
    <w:rPr>
      <w:color w:val="1C3B5E" w:themeColor="accent5" w:themeShade="80"/>
      <w:sz w:val="20"/>
    </w:rPr>
  </w:style>
  <w:style w:type="paragraph" w:styleId="Footer">
    <w:name w:val="footer"/>
    <w:basedOn w:val="Normal"/>
    <w:link w:val="FooterChar"/>
    <w:uiPriority w:val="99"/>
    <w:unhideWhenUsed/>
    <w:locked/>
    <w:rsid w:val="002E4D20"/>
    <w:pPr>
      <w:tabs>
        <w:tab w:val="center" w:pos="4680"/>
        <w:tab w:val="right" w:pos="9360"/>
      </w:tabs>
    </w:pPr>
  </w:style>
  <w:style w:type="character" w:customStyle="1" w:styleId="FooterChar">
    <w:name w:val="Footer Char"/>
    <w:basedOn w:val="DefaultParagraphFont"/>
    <w:link w:val="Footer"/>
    <w:uiPriority w:val="99"/>
    <w:rsid w:val="002E4D20"/>
    <w:rPr>
      <w:color w:val="1C3B5E" w:themeColor="accent5" w:themeShade="80"/>
      <w:sz w:val="20"/>
    </w:rPr>
  </w:style>
  <w:style w:type="paragraph" w:styleId="BalloonText">
    <w:name w:val="Balloon Text"/>
    <w:basedOn w:val="Normal"/>
    <w:link w:val="BalloonTextChar"/>
    <w:uiPriority w:val="99"/>
    <w:semiHidden/>
    <w:unhideWhenUsed/>
    <w:rsid w:val="004553FD"/>
    <w:rPr>
      <w:rFonts w:ascii="Tahoma" w:hAnsi="Tahoma" w:cs="Tahoma"/>
      <w:sz w:val="16"/>
      <w:szCs w:val="16"/>
    </w:rPr>
  </w:style>
  <w:style w:type="character" w:customStyle="1" w:styleId="BalloonTextChar">
    <w:name w:val="Balloon Text Char"/>
    <w:basedOn w:val="DefaultParagraphFont"/>
    <w:link w:val="BalloonText"/>
    <w:uiPriority w:val="99"/>
    <w:semiHidden/>
    <w:rsid w:val="004553FD"/>
    <w:rPr>
      <w:rFonts w:ascii="Tahoma" w:hAnsi="Tahoma" w:cs="Tahoma"/>
      <w:color w:val="1C3B5E" w:themeColor="accent5" w:themeShade="80"/>
      <w:sz w:val="16"/>
      <w:szCs w:val="16"/>
    </w:rPr>
  </w:style>
  <w:style w:type="paragraph" w:customStyle="1" w:styleId="QuoteAttribute">
    <w:name w:val="Quote Attribute"/>
    <w:basedOn w:val="ListParagraph"/>
    <w:next w:val="Normal"/>
    <w:qFormat/>
    <w:rsid w:val="00843DBD"/>
    <w:pPr>
      <w:numPr>
        <w:numId w:val="3"/>
      </w:numPr>
      <w:ind w:left="3060" w:hanging="180"/>
    </w:pPr>
    <w:rPr>
      <w:b/>
      <w:color w:val="00599C" w:themeColor="text2"/>
    </w:rPr>
  </w:style>
  <w:style w:type="paragraph" w:styleId="ListBullet">
    <w:name w:val="List Bullet"/>
    <w:basedOn w:val="Normal"/>
    <w:uiPriority w:val="99"/>
    <w:unhideWhenUsed/>
    <w:qFormat/>
    <w:rsid w:val="00364207"/>
    <w:pPr>
      <w:numPr>
        <w:numId w:val="6"/>
      </w:numPr>
      <w:spacing w:after="60"/>
      <w:contextualSpacing/>
    </w:pPr>
  </w:style>
  <w:style w:type="paragraph" w:styleId="ListBullet2">
    <w:name w:val="List Bullet 2"/>
    <w:basedOn w:val="Normal"/>
    <w:uiPriority w:val="99"/>
    <w:unhideWhenUsed/>
    <w:rsid w:val="00364207"/>
    <w:pPr>
      <w:numPr>
        <w:ilvl w:val="1"/>
        <w:numId w:val="6"/>
      </w:numPr>
      <w:spacing w:after="60"/>
      <w:contextualSpacing/>
    </w:pPr>
  </w:style>
  <w:style w:type="paragraph" w:styleId="ListBullet3">
    <w:name w:val="List Bullet 3"/>
    <w:basedOn w:val="Normal"/>
    <w:uiPriority w:val="99"/>
    <w:unhideWhenUsed/>
    <w:rsid w:val="00364207"/>
    <w:pPr>
      <w:numPr>
        <w:ilvl w:val="2"/>
        <w:numId w:val="6"/>
      </w:numPr>
      <w:spacing w:after="60"/>
      <w:contextualSpacing/>
    </w:pPr>
  </w:style>
  <w:style w:type="paragraph" w:styleId="ListBullet4">
    <w:name w:val="List Bullet 4"/>
    <w:basedOn w:val="Normal"/>
    <w:uiPriority w:val="99"/>
    <w:unhideWhenUsed/>
    <w:rsid w:val="00364207"/>
    <w:pPr>
      <w:numPr>
        <w:ilvl w:val="3"/>
        <w:numId w:val="6"/>
      </w:numPr>
      <w:spacing w:after="60"/>
      <w:contextualSpacing/>
    </w:pPr>
  </w:style>
  <w:style w:type="paragraph" w:styleId="ListBullet5">
    <w:name w:val="List Bullet 5"/>
    <w:basedOn w:val="Normal"/>
    <w:uiPriority w:val="99"/>
    <w:unhideWhenUsed/>
    <w:rsid w:val="00364207"/>
    <w:pPr>
      <w:numPr>
        <w:ilvl w:val="4"/>
        <w:numId w:val="6"/>
      </w:numPr>
      <w:spacing w:after="60"/>
      <w:contextualSpacing/>
    </w:pPr>
  </w:style>
  <w:style w:type="paragraph" w:styleId="TOCHeading">
    <w:name w:val="TOC Heading"/>
    <w:basedOn w:val="Heading1"/>
    <w:next w:val="Normal"/>
    <w:uiPriority w:val="39"/>
    <w:unhideWhenUsed/>
    <w:qFormat/>
    <w:rsid w:val="0051142E"/>
    <w:pPr>
      <w:spacing w:before="480" w:afterAutospacing="1" w:line="276" w:lineRule="auto"/>
      <w:outlineLvl w:val="9"/>
    </w:pPr>
    <w:rPr>
      <w:b/>
      <w:color w:val="002D5D" w:themeColor="accent1" w:themeShade="BF"/>
      <w:sz w:val="28"/>
      <w:lang w:eastAsia="ja-JP"/>
    </w:rPr>
  </w:style>
  <w:style w:type="paragraph" w:styleId="TOC1">
    <w:name w:val="toc 1"/>
    <w:basedOn w:val="Heading4"/>
    <w:next w:val="TOC2"/>
    <w:autoRedefine/>
    <w:uiPriority w:val="39"/>
    <w:unhideWhenUsed/>
    <w:rsid w:val="003C0A2F"/>
    <w:pPr>
      <w:tabs>
        <w:tab w:val="right" w:leader="dot" w:pos="9000"/>
      </w:tabs>
      <w:spacing w:before="120"/>
    </w:pPr>
  </w:style>
  <w:style w:type="paragraph" w:styleId="TOC2">
    <w:name w:val="toc 2"/>
    <w:basedOn w:val="ListBullet"/>
    <w:next w:val="ListBullet2"/>
    <w:autoRedefine/>
    <w:uiPriority w:val="39"/>
    <w:unhideWhenUsed/>
    <w:rsid w:val="00195515"/>
    <w:pPr>
      <w:tabs>
        <w:tab w:val="right" w:leader="dot" w:pos="9000"/>
      </w:tabs>
      <w:spacing w:after="0"/>
      <w:ind w:left="202"/>
    </w:pPr>
  </w:style>
  <w:style w:type="paragraph" w:styleId="TOC3">
    <w:name w:val="toc 3"/>
    <w:basedOn w:val="ListBullet2"/>
    <w:next w:val="ListBullet3"/>
    <w:autoRedefine/>
    <w:uiPriority w:val="39"/>
    <w:unhideWhenUsed/>
    <w:rsid w:val="003C0A2F"/>
    <w:pPr>
      <w:tabs>
        <w:tab w:val="right" w:leader="dot" w:pos="9000"/>
      </w:tabs>
      <w:spacing w:after="0"/>
      <w:ind w:left="403"/>
    </w:pPr>
  </w:style>
  <w:style w:type="character" w:styleId="Hyperlink">
    <w:name w:val="Hyperlink"/>
    <w:basedOn w:val="DefaultParagraphFont"/>
    <w:uiPriority w:val="99"/>
    <w:unhideWhenUsed/>
    <w:rsid w:val="0084049D"/>
    <w:rPr>
      <w:color w:val="144E9D" w:themeColor="accent3"/>
      <w:u w:val="single"/>
    </w:rPr>
  </w:style>
  <w:style w:type="table" w:styleId="TableGrid">
    <w:name w:val="Table Grid"/>
    <w:basedOn w:val="TableNormal"/>
    <w:uiPriority w:val="59"/>
    <w:rsid w:val="00C012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129A"/>
    <w:pPr>
      <w:spacing w:line="240" w:lineRule="auto"/>
    </w:pPr>
    <w:tblPr>
      <w:tblStyleRowBandSize w:val="1"/>
      <w:tblStyleColBandSize w:val="1"/>
      <w:tblBorders>
        <w:top w:val="single" w:sz="8" w:space="0" w:color="003A5F" w:themeColor="text1"/>
        <w:left w:val="single" w:sz="8" w:space="0" w:color="003A5F" w:themeColor="text1"/>
        <w:bottom w:val="single" w:sz="8" w:space="0" w:color="003A5F" w:themeColor="text1"/>
        <w:right w:val="single" w:sz="8" w:space="0" w:color="003A5F" w:themeColor="text1"/>
      </w:tblBorders>
    </w:tblPr>
    <w:tblStylePr w:type="firstRow">
      <w:pPr>
        <w:spacing w:before="0" w:after="0" w:line="240" w:lineRule="auto"/>
      </w:pPr>
      <w:rPr>
        <w:b/>
        <w:bCs/>
        <w:color w:val="FFFFFF" w:themeColor="background1"/>
      </w:rPr>
      <w:tblPr/>
      <w:tcPr>
        <w:shd w:val="clear" w:color="auto" w:fill="003A5F" w:themeFill="text1"/>
      </w:tcPr>
    </w:tblStylePr>
    <w:tblStylePr w:type="lastRow">
      <w:pPr>
        <w:spacing w:before="0" w:after="0" w:line="240" w:lineRule="auto"/>
      </w:pPr>
      <w:rPr>
        <w:b/>
        <w:bCs/>
      </w:rPr>
      <w:tblPr/>
      <w:tcPr>
        <w:tcBorders>
          <w:top w:val="double" w:sz="6" w:space="0" w:color="003A5F" w:themeColor="text1"/>
          <w:left w:val="single" w:sz="8" w:space="0" w:color="003A5F" w:themeColor="text1"/>
          <w:bottom w:val="single" w:sz="8" w:space="0" w:color="003A5F" w:themeColor="text1"/>
          <w:right w:val="single" w:sz="8" w:space="0" w:color="003A5F" w:themeColor="text1"/>
        </w:tcBorders>
      </w:tcPr>
    </w:tblStylePr>
    <w:tblStylePr w:type="firstCol">
      <w:rPr>
        <w:b/>
        <w:bCs/>
      </w:rPr>
    </w:tblStylePr>
    <w:tblStylePr w:type="lastCol">
      <w:rPr>
        <w:b/>
        <w:bCs/>
      </w:rPr>
    </w:tblStylePr>
    <w:tblStylePr w:type="band1Vert">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tblStylePr w:type="band1Horz">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style>
  <w:style w:type="paragraph" w:customStyle="1" w:styleId="Title2">
    <w:name w:val="Title 2"/>
    <w:basedOn w:val="Normal"/>
    <w:next w:val="Heading1"/>
    <w:rsid w:val="002A4F7B"/>
    <w:rPr>
      <w:b/>
      <w:color w:val="003A5F" w:themeColor="text1"/>
      <w:sz w:val="24"/>
    </w:rPr>
  </w:style>
  <w:style w:type="paragraph" w:styleId="NormalWeb">
    <w:name w:val="Normal (Web)"/>
    <w:basedOn w:val="Normal"/>
    <w:uiPriority w:val="99"/>
    <w:semiHidden/>
    <w:unhideWhenUsed/>
    <w:locked/>
    <w:rsid w:val="00AA6EA5"/>
    <w:pPr>
      <w:spacing w:after="210" w:line="210" w:lineRule="atLeast"/>
    </w:pPr>
    <w:rPr>
      <w:rFonts w:ascii="Times New Roman" w:eastAsia="Times New Roman" w:hAnsi="Times New Roman" w:cs="Times New Roman"/>
      <w:color w:val="auto"/>
      <w:sz w:val="17"/>
      <w:szCs w:val="17"/>
    </w:rPr>
  </w:style>
  <w:style w:type="paragraph" w:customStyle="1" w:styleId="TableText">
    <w:name w:val="Table Text"/>
    <w:uiPriority w:val="99"/>
    <w:qFormat/>
    <w:rsid w:val="007F0793"/>
    <w:pPr>
      <w:contextualSpacing/>
    </w:pPr>
    <w:rPr>
      <w:rFonts w:eastAsia="Calibri" w:cs="Calibri"/>
    </w:rPr>
  </w:style>
  <w:style w:type="paragraph" w:customStyle="1" w:styleId="TableTitle">
    <w:name w:val="Table Title"/>
    <w:basedOn w:val="TableText"/>
    <w:qFormat/>
    <w:rsid w:val="007F0793"/>
    <w:rPr>
      <w:b/>
      <w:bCs/>
      <w:color w:val="FFFFFF"/>
    </w:rPr>
  </w:style>
  <w:style w:type="table" w:styleId="LightList-Accent2">
    <w:name w:val="Light List Accent 2"/>
    <w:basedOn w:val="TableNormal"/>
    <w:uiPriority w:val="61"/>
    <w:rsid w:val="007F0793"/>
    <w:pPr>
      <w:spacing w:line="240" w:lineRule="auto"/>
    </w:pPr>
    <w:rPr>
      <w:rFonts w:eastAsia="Times New Roman" w:cs="Times New Roman"/>
    </w:rPr>
    <w:tblPr>
      <w:tblStyleRowBandSize w:val="1"/>
      <w:tblStyleColBandSize w:val="1"/>
      <w:tblBorders>
        <w:top w:val="single" w:sz="8" w:space="0" w:color="2078BD" w:themeColor="accent2"/>
        <w:left w:val="single" w:sz="8" w:space="0" w:color="2078BD" w:themeColor="accent2"/>
        <w:bottom w:val="single" w:sz="8" w:space="0" w:color="2078BD" w:themeColor="accent2"/>
        <w:right w:val="single" w:sz="8" w:space="0" w:color="2078B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2078BD" w:themeFill="accent2"/>
      </w:tcPr>
    </w:tblStylePr>
    <w:tblStylePr w:type="lastRow">
      <w:pPr>
        <w:spacing w:beforeLines="0" w:before="0" w:beforeAutospacing="0" w:afterLines="0" w:after="0" w:afterAutospacing="0" w:line="240" w:lineRule="auto"/>
      </w:pPr>
      <w:rPr>
        <w:b/>
        <w:bCs/>
      </w:rPr>
      <w:tblPr/>
      <w:tcPr>
        <w:tcBorders>
          <w:top w:val="double" w:sz="6" w:space="0" w:color="2078BD" w:themeColor="accent2"/>
          <w:left w:val="single" w:sz="8" w:space="0" w:color="2078BD" w:themeColor="accent2"/>
          <w:bottom w:val="single" w:sz="8" w:space="0" w:color="2078BD" w:themeColor="accent2"/>
          <w:right w:val="single" w:sz="8" w:space="0" w:color="2078BD" w:themeColor="accent2"/>
        </w:tcBorders>
      </w:tcPr>
    </w:tblStylePr>
    <w:tblStylePr w:type="firstCol">
      <w:rPr>
        <w:b/>
        <w:bCs/>
      </w:rPr>
    </w:tblStylePr>
    <w:tblStylePr w:type="lastCol">
      <w:rPr>
        <w:b/>
        <w:bCs/>
      </w:rPr>
    </w:tblStylePr>
    <w:tblStylePr w:type="band1Vert">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tblStylePr w:type="band1Horz">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style>
  <w:style w:type="paragraph" w:customStyle="1" w:styleId="IQNavFooter">
    <w:name w:val="IQNavFooter"/>
    <w:basedOn w:val="Normal"/>
    <w:uiPriority w:val="19"/>
    <w:semiHidden/>
    <w:qFormat/>
    <w:locked/>
    <w:rsid w:val="00242F36"/>
    <w:pPr>
      <w:tabs>
        <w:tab w:val="right" w:pos="9720"/>
      </w:tabs>
    </w:pPr>
    <w:rPr>
      <w:sz w:val="16"/>
    </w:rPr>
  </w:style>
  <w:style w:type="character" w:customStyle="1" w:styleId="IQNavFooter2">
    <w:name w:val="IQNavFooter2"/>
    <w:basedOn w:val="DefaultParagraphFont"/>
    <w:uiPriority w:val="1"/>
    <w:semiHidden/>
    <w:qFormat/>
    <w:locked/>
    <w:rsid w:val="00242F36"/>
    <w:rPr>
      <w:sz w:val="20"/>
    </w:rPr>
  </w:style>
  <w:style w:type="paragraph" w:customStyle="1" w:styleId="IQNavHeader">
    <w:name w:val="IQNavHeader"/>
    <w:basedOn w:val="Normal"/>
    <w:uiPriority w:val="5"/>
    <w:semiHidden/>
    <w:qFormat/>
    <w:locked/>
    <w:rsid w:val="00242F36"/>
  </w:style>
  <w:style w:type="paragraph" w:customStyle="1" w:styleId="CoverTitle">
    <w:name w:val="Cover Title"/>
    <w:basedOn w:val="Title"/>
    <w:qFormat/>
    <w:rsid w:val="00CE644E"/>
    <w:pPr>
      <w:spacing w:after="600"/>
    </w:pPr>
    <w:rPr>
      <w:b/>
      <w:caps/>
      <w:color w:val="00365A" w:themeColor="text1" w:themeShade="F2"/>
      <w:sz w:val="80"/>
      <w:szCs w:val="80"/>
    </w:rPr>
  </w:style>
  <w:style w:type="paragraph" w:customStyle="1" w:styleId="CoverTitleSub">
    <w:name w:val="Cover Title Sub"/>
    <w:basedOn w:val="Normal"/>
    <w:qFormat/>
    <w:rsid w:val="002A4F7B"/>
    <w:pPr>
      <w:numPr>
        <w:numId w:val="4"/>
      </w:numPr>
      <w:ind w:left="360"/>
    </w:pPr>
    <w:rPr>
      <w:rFonts w:ascii="Georgia" w:hAnsi="Georgia"/>
      <w:i/>
      <w:color w:val="2078BD" w:themeColor="accent2"/>
      <w:sz w:val="48"/>
      <w:szCs w:val="48"/>
    </w:rPr>
  </w:style>
  <w:style w:type="paragraph" w:customStyle="1" w:styleId="CoverDate">
    <w:name w:val="Cover Date"/>
    <w:basedOn w:val="CoverTitleSub"/>
    <w:qFormat/>
    <w:rsid w:val="002A4F7B"/>
    <w:pPr>
      <w:numPr>
        <w:numId w:val="0"/>
      </w:numPr>
      <w:ind w:left="360"/>
    </w:pPr>
    <w:rPr>
      <w:sz w:val="32"/>
    </w:rPr>
  </w:style>
  <w:style w:type="paragraph" w:customStyle="1" w:styleId="Subtitle1">
    <w:name w:val="Subtitle1"/>
    <w:basedOn w:val="Normal"/>
    <w:next w:val="Normal"/>
    <w:link w:val="SubTitleChar"/>
    <w:qFormat/>
    <w:rsid w:val="00797F57"/>
    <w:pPr>
      <w:spacing w:after="240"/>
      <w:jc w:val="right"/>
    </w:pPr>
    <w:rPr>
      <w:b/>
      <w:i/>
      <w:color w:val="00B0F0"/>
      <w:sz w:val="32"/>
    </w:rPr>
  </w:style>
  <w:style w:type="character" w:customStyle="1" w:styleId="SubTitleChar">
    <w:name w:val="SubTitle Char"/>
    <w:basedOn w:val="DefaultParagraphFont"/>
    <w:link w:val="Subtitle1"/>
    <w:rsid w:val="00797F57"/>
    <w:rPr>
      <w:b/>
      <w:i/>
      <w:color w:val="00B0F0"/>
      <w:sz w:val="32"/>
    </w:rPr>
  </w:style>
  <w:style w:type="table" w:styleId="LightList-Accent5">
    <w:name w:val="Light List Accent 5"/>
    <w:basedOn w:val="TableNormal"/>
    <w:uiPriority w:val="61"/>
    <w:rsid w:val="00797F57"/>
    <w:pPr>
      <w:spacing w:line="240" w:lineRule="auto"/>
    </w:pPr>
    <w:tblPr>
      <w:tblStyleRowBandSize w:val="1"/>
      <w:tblStyleColBandSize w:val="1"/>
      <w:tblBorders>
        <w:top w:val="single" w:sz="8" w:space="0" w:color="3877BC" w:themeColor="accent5"/>
        <w:left w:val="single" w:sz="8" w:space="0" w:color="3877BC" w:themeColor="accent5"/>
        <w:bottom w:val="single" w:sz="8" w:space="0" w:color="3877BC" w:themeColor="accent5"/>
        <w:right w:val="single" w:sz="8" w:space="0" w:color="3877BC" w:themeColor="accent5"/>
      </w:tblBorders>
    </w:tblPr>
    <w:tblStylePr w:type="firstRow">
      <w:pPr>
        <w:spacing w:before="0" w:after="0" w:line="240" w:lineRule="auto"/>
      </w:pPr>
      <w:rPr>
        <w:b/>
        <w:bCs/>
        <w:color w:val="FFFFFF" w:themeColor="background1"/>
      </w:rPr>
      <w:tblPr/>
      <w:tcPr>
        <w:shd w:val="clear" w:color="auto" w:fill="3877BC" w:themeFill="accent5"/>
      </w:tcPr>
    </w:tblStylePr>
    <w:tblStylePr w:type="lastRow">
      <w:pPr>
        <w:spacing w:before="0" w:after="0" w:line="240" w:lineRule="auto"/>
      </w:pPr>
      <w:rPr>
        <w:b/>
        <w:bCs/>
      </w:rPr>
      <w:tblPr/>
      <w:tcPr>
        <w:tcBorders>
          <w:top w:val="double" w:sz="6" w:space="0" w:color="3877BC" w:themeColor="accent5"/>
          <w:left w:val="single" w:sz="8" w:space="0" w:color="3877BC" w:themeColor="accent5"/>
          <w:bottom w:val="single" w:sz="8" w:space="0" w:color="3877BC" w:themeColor="accent5"/>
          <w:right w:val="single" w:sz="8" w:space="0" w:color="3877BC" w:themeColor="accent5"/>
        </w:tcBorders>
      </w:tcPr>
    </w:tblStylePr>
    <w:tblStylePr w:type="firstCol">
      <w:rPr>
        <w:b/>
        <w:bCs/>
      </w:rPr>
    </w:tblStylePr>
    <w:tblStylePr w:type="lastCol">
      <w:rPr>
        <w:b/>
        <w:bCs/>
      </w:rPr>
    </w:tblStylePr>
    <w:tblStylePr w:type="band1Vert">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tblStylePr w:type="band1Horz">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style>
  <w:style w:type="table" w:styleId="MediumShading1-Accent4">
    <w:name w:val="Medium Shading 1 Accent 4"/>
    <w:basedOn w:val="TableNormal"/>
    <w:uiPriority w:val="63"/>
    <w:rsid w:val="00845CFD"/>
    <w:pPr>
      <w:spacing w:line="240" w:lineRule="auto"/>
    </w:pPr>
    <w:tblPr>
      <w:tblStyleRowBandSize w:val="1"/>
      <w:tblStyleColBandSize w:val="1"/>
      <w:tbl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single" w:sz="8" w:space="0" w:color="43AEDB" w:themeColor="accent4" w:themeTint="BF"/>
      </w:tblBorders>
    </w:tblPr>
    <w:tblStylePr w:type="firstRow">
      <w:pPr>
        <w:spacing w:before="0" w:after="0" w:line="240" w:lineRule="auto"/>
      </w:pPr>
      <w:rPr>
        <w:b/>
        <w:bCs/>
        <w:color w:val="FFFFFF" w:themeColor="background1"/>
      </w:rPr>
      <w:tblPr/>
      <w:tcPr>
        <w:tc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shd w:val="clear" w:color="auto" w:fill="2288B1" w:themeFill="accent4"/>
      </w:tcPr>
    </w:tblStylePr>
    <w:tblStylePr w:type="lastRow">
      <w:pPr>
        <w:spacing w:before="0" w:after="0" w:line="240" w:lineRule="auto"/>
      </w:pPr>
      <w:rPr>
        <w:b/>
        <w:bCs/>
      </w:rPr>
      <w:tblPr/>
      <w:tcPr>
        <w:tcBorders>
          <w:top w:val="double" w:sz="6"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4F3" w:themeFill="accent4" w:themeFillTint="3F"/>
      </w:tcPr>
    </w:tblStylePr>
    <w:tblStylePr w:type="band1Horz">
      <w:tblPr/>
      <w:tcPr>
        <w:tcBorders>
          <w:insideH w:val="nil"/>
          <w:insideV w:val="nil"/>
        </w:tcBorders>
        <w:shd w:val="clear" w:color="auto" w:fill="C0E4F3"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5CFD"/>
    <w:pPr>
      <w:spacing w:line="240" w:lineRule="auto"/>
    </w:pPr>
    <w:tblPr>
      <w:tblStyleRowBandSize w:val="1"/>
      <w:tblStyleColBandSize w:val="1"/>
      <w:tbl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single" w:sz="8" w:space="0" w:color="006BDD" w:themeColor="accent1" w:themeTint="BF"/>
      </w:tblBorders>
    </w:tblPr>
    <w:tblStylePr w:type="firstRow">
      <w:pPr>
        <w:spacing w:before="0" w:after="0" w:line="240" w:lineRule="auto"/>
      </w:pPr>
      <w:rPr>
        <w:b/>
        <w:bCs/>
        <w:color w:val="FFFFFF" w:themeColor="background1"/>
      </w:rPr>
      <w:tblPr/>
      <w:tcPr>
        <w:tc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shd w:val="clear" w:color="auto" w:fill="003D7D" w:themeFill="accent1"/>
      </w:tcPr>
    </w:tblStylePr>
    <w:tblStylePr w:type="lastRow">
      <w:pPr>
        <w:spacing w:before="0" w:after="0" w:line="240" w:lineRule="auto"/>
      </w:pPr>
      <w:rPr>
        <w:b/>
        <w:bCs/>
      </w:rPr>
      <w:tblPr/>
      <w:tcPr>
        <w:tcBorders>
          <w:top w:val="double" w:sz="6"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CEFF" w:themeFill="accent1" w:themeFillTint="3F"/>
      </w:tcPr>
    </w:tblStylePr>
    <w:tblStylePr w:type="band1Horz">
      <w:tblPr/>
      <w:tcPr>
        <w:tcBorders>
          <w:insideH w:val="nil"/>
          <w:insideV w:val="nil"/>
        </w:tcBorders>
        <w:shd w:val="clear" w:color="auto" w:fill="9FCEFF"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45CFD"/>
    <w:pPr>
      <w:spacing w:line="240" w:lineRule="auto"/>
    </w:pPr>
    <w:rPr>
      <w:color w:val="003A5F" w:themeColor="text1"/>
    </w:rPr>
    <w:tblPr>
      <w:tblStyleRowBandSize w:val="1"/>
      <w:tblStyleColBandSize w:val="1"/>
      <w:tblBorders>
        <w:top w:val="single" w:sz="8" w:space="0" w:color="003D7D" w:themeColor="accent1"/>
        <w:bottom w:val="single" w:sz="8" w:space="0" w:color="003D7D" w:themeColor="accent1"/>
      </w:tblBorders>
    </w:tblPr>
    <w:tblStylePr w:type="firstRow">
      <w:rPr>
        <w:rFonts w:asciiTheme="majorHAnsi" w:eastAsiaTheme="majorEastAsia" w:hAnsiTheme="majorHAnsi" w:cstheme="majorBidi"/>
      </w:rPr>
      <w:tblPr/>
      <w:tcPr>
        <w:tcBorders>
          <w:top w:val="nil"/>
          <w:bottom w:val="single" w:sz="8" w:space="0" w:color="003D7D" w:themeColor="accent1"/>
        </w:tcBorders>
      </w:tcPr>
    </w:tblStylePr>
    <w:tblStylePr w:type="lastRow">
      <w:rPr>
        <w:b/>
        <w:bCs/>
        <w:color w:val="00599C" w:themeColor="text2"/>
      </w:rPr>
      <w:tblPr/>
      <w:tcPr>
        <w:tcBorders>
          <w:top w:val="single" w:sz="8" w:space="0" w:color="003D7D" w:themeColor="accent1"/>
          <w:bottom w:val="single" w:sz="8" w:space="0" w:color="003D7D" w:themeColor="accent1"/>
        </w:tcBorders>
      </w:tcPr>
    </w:tblStylePr>
    <w:tblStylePr w:type="firstCol">
      <w:rPr>
        <w:b/>
        <w:bCs/>
      </w:rPr>
    </w:tblStylePr>
    <w:tblStylePr w:type="lastCol">
      <w:rPr>
        <w:b/>
        <w:bCs/>
      </w:rPr>
      <w:tblPr/>
      <w:tcPr>
        <w:tcBorders>
          <w:top w:val="single" w:sz="8" w:space="0" w:color="003D7D" w:themeColor="accent1"/>
          <w:bottom w:val="single" w:sz="8" w:space="0" w:color="003D7D" w:themeColor="accent1"/>
        </w:tcBorders>
      </w:tcPr>
    </w:tblStylePr>
    <w:tblStylePr w:type="band1Vert">
      <w:tblPr/>
      <w:tcPr>
        <w:shd w:val="clear" w:color="auto" w:fill="9FCEFF" w:themeFill="accent1" w:themeFillTint="3F"/>
      </w:tcPr>
    </w:tblStylePr>
    <w:tblStylePr w:type="band1Horz">
      <w:tblPr/>
      <w:tcPr>
        <w:shd w:val="clear" w:color="auto" w:fill="9FCEFF" w:themeFill="accent1" w:themeFillTint="3F"/>
      </w:tcPr>
    </w:tblStylePr>
  </w:style>
  <w:style w:type="table" w:styleId="LightList-Accent1">
    <w:name w:val="Light List Accent 1"/>
    <w:basedOn w:val="TableNormal"/>
    <w:uiPriority w:val="61"/>
    <w:rsid w:val="00845CFD"/>
    <w:pPr>
      <w:spacing w:line="240" w:lineRule="auto"/>
    </w:pPr>
    <w:tblPr>
      <w:tblStyleRowBandSize w:val="1"/>
      <w:tblStyleColBandSize w:val="1"/>
      <w:tblBorders>
        <w:top w:val="single" w:sz="8" w:space="0" w:color="003D7D" w:themeColor="accent1"/>
        <w:left w:val="single" w:sz="8" w:space="0" w:color="003D7D" w:themeColor="accent1"/>
        <w:bottom w:val="single" w:sz="8" w:space="0" w:color="003D7D" w:themeColor="accent1"/>
        <w:right w:val="single" w:sz="8" w:space="0" w:color="003D7D" w:themeColor="accent1"/>
      </w:tblBorders>
    </w:tblPr>
    <w:tblStylePr w:type="firstRow">
      <w:pPr>
        <w:spacing w:before="0" w:after="0" w:line="240" w:lineRule="auto"/>
      </w:pPr>
      <w:rPr>
        <w:b/>
        <w:bCs/>
        <w:color w:val="FFFFFF" w:themeColor="background1"/>
      </w:rPr>
      <w:tblPr/>
      <w:tcPr>
        <w:shd w:val="clear" w:color="auto" w:fill="003D7D" w:themeFill="accent1"/>
      </w:tcPr>
    </w:tblStylePr>
    <w:tblStylePr w:type="lastRow">
      <w:pPr>
        <w:spacing w:before="0" w:after="0" w:line="240" w:lineRule="auto"/>
      </w:pPr>
      <w:rPr>
        <w:b/>
        <w:bCs/>
      </w:rPr>
      <w:tblPr/>
      <w:tcPr>
        <w:tcBorders>
          <w:top w:val="double" w:sz="6" w:space="0" w:color="003D7D" w:themeColor="accent1"/>
          <w:left w:val="single" w:sz="8" w:space="0" w:color="003D7D" w:themeColor="accent1"/>
          <w:bottom w:val="single" w:sz="8" w:space="0" w:color="003D7D" w:themeColor="accent1"/>
          <w:right w:val="single" w:sz="8" w:space="0" w:color="003D7D" w:themeColor="accent1"/>
        </w:tcBorders>
      </w:tcPr>
    </w:tblStylePr>
    <w:tblStylePr w:type="firstCol">
      <w:rPr>
        <w:b/>
        <w:bCs/>
      </w:rPr>
    </w:tblStylePr>
    <w:tblStylePr w:type="lastCol">
      <w:rPr>
        <w:b/>
        <w:bCs/>
      </w:rPr>
    </w:tblStylePr>
    <w:tblStylePr w:type="band1Vert">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tblStylePr w:type="band1Horz">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style>
  <w:style w:type="table" w:styleId="MediumShading1-Accent5">
    <w:name w:val="Medium Shading 1 Accent 5"/>
    <w:basedOn w:val="TableNormal"/>
    <w:uiPriority w:val="63"/>
    <w:rsid w:val="00B7097D"/>
    <w:pPr>
      <w:spacing w:line="240" w:lineRule="auto"/>
    </w:pPr>
    <w:tblPr>
      <w:tblStyleRowBandSize w:val="1"/>
      <w:tblStyleColBandSize w:val="1"/>
      <w:tbl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single" w:sz="8" w:space="0" w:color="6598D1" w:themeColor="accent5" w:themeTint="BF"/>
      </w:tblBorders>
    </w:tblPr>
    <w:tblStylePr w:type="firstRow">
      <w:pPr>
        <w:spacing w:before="0" w:after="0" w:line="240" w:lineRule="auto"/>
      </w:pPr>
      <w:rPr>
        <w:b/>
        <w:bCs/>
        <w:color w:val="FFFFFF" w:themeColor="background1"/>
      </w:rPr>
      <w:tblPr/>
      <w:tcPr>
        <w:tc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shd w:val="clear" w:color="auto" w:fill="3877BC" w:themeFill="accent5"/>
      </w:tcPr>
    </w:tblStylePr>
    <w:tblStylePr w:type="lastRow">
      <w:pPr>
        <w:spacing w:before="0" w:after="0" w:line="240" w:lineRule="auto"/>
      </w:pPr>
      <w:rPr>
        <w:b/>
        <w:bCs/>
      </w:rPr>
      <w:tblPr/>
      <w:tcPr>
        <w:tcBorders>
          <w:top w:val="double" w:sz="6"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DDF0" w:themeFill="accent5" w:themeFillTint="3F"/>
      </w:tcPr>
    </w:tblStylePr>
    <w:tblStylePr w:type="band1Horz">
      <w:tblPr/>
      <w:tcPr>
        <w:tcBorders>
          <w:insideH w:val="nil"/>
          <w:insideV w:val="nil"/>
        </w:tcBorders>
        <w:shd w:val="clear" w:color="auto" w:fill="CCDDF0"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B7097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8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8BD" w:themeFill="accent2"/>
      </w:tcPr>
    </w:tblStylePr>
    <w:tblStylePr w:type="lastCol">
      <w:rPr>
        <w:b/>
        <w:bCs/>
        <w:color w:val="FFFFFF" w:themeColor="background1"/>
      </w:rPr>
      <w:tblPr/>
      <w:tcPr>
        <w:tcBorders>
          <w:left w:val="nil"/>
          <w:right w:val="nil"/>
          <w:insideH w:val="nil"/>
          <w:insideV w:val="nil"/>
        </w:tcBorders>
        <w:shd w:val="clear" w:color="auto" w:fill="2078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semiHidden/>
    <w:unhideWhenUsed/>
    <w:rsid w:val="00D508DB"/>
  </w:style>
  <w:style w:type="paragraph" w:styleId="NoSpacing">
    <w:name w:val="No Spacing"/>
    <w:uiPriority w:val="1"/>
    <w:qFormat/>
    <w:locked/>
    <w:rsid w:val="00ED00BE"/>
    <w:pPr>
      <w:spacing w:line="240" w:lineRule="auto"/>
      <w:jc w:val="both"/>
    </w:pPr>
  </w:style>
  <w:style w:type="paragraph" w:styleId="Subtitle">
    <w:name w:val="Subtitle"/>
    <w:basedOn w:val="Normal"/>
    <w:next w:val="Normal"/>
    <w:link w:val="SubtitleChar0"/>
    <w:uiPriority w:val="11"/>
    <w:qFormat/>
    <w:locked/>
    <w:rsid w:val="00ED00BE"/>
    <w:pPr>
      <w:numPr>
        <w:ilvl w:val="1"/>
      </w:numPr>
      <w:spacing w:after="160"/>
    </w:pPr>
    <w:rPr>
      <w:rFonts w:asciiTheme="minorHAnsi" w:hAnsiTheme="minorHAnsi"/>
      <w:color w:val="0092F1" w:themeColor="text1" w:themeTint="A5"/>
      <w:spacing w:val="15"/>
    </w:rPr>
  </w:style>
  <w:style w:type="character" w:customStyle="1" w:styleId="SubtitleChar0">
    <w:name w:val="Subtitle Char"/>
    <w:basedOn w:val="DefaultParagraphFont"/>
    <w:link w:val="Subtitle"/>
    <w:uiPriority w:val="11"/>
    <w:rsid w:val="00ED00BE"/>
    <w:rPr>
      <w:rFonts w:asciiTheme="minorHAnsi" w:hAnsiTheme="minorHAnsi"/>
      <w:color w:val="0092F1" w:themeColor="text1" w:themeTint="A5"/>
      <w:spacing w:val="15"/>
    </w:rPr>
  </w:style>
  <w:style w:type="character" w:styleId="SubtleEmphasis">
    <w:name w:val="Subtle Emphasis"/>
    <w:basedOn w:val="DefaultParagraphFont"/>
    <w:uiPriority w:val="19"/>
    <w:qFormat/>
    <w:locked/>
    <w:rsid w:val="00ED00BE"/>
    <w:rPr>
      <w:i/>
      <w:iCs/>
      <w:color w:val="0078C7" w:themeColor="text1" w:themeTint="BF"/>
    </w:rPr>
  </w:style>
  <w:style w:type="paragraph" w:customStyle="1" w:styleId="TitleBlue">
    <w:name w:val="Title Blue"/>
    <w:basedOn w:val="Title"/>
    <w:qFormat/>
    <w:rsid w:val="008C7B7F"/>
    <w:pPr>
      <w:spacing w:after="600"/>
    </w:pPr>
    <w:rPr>
      <w:b/>
      <w:caps/>
      <w:color w:val="003A5F" w:themeColor="text1"/>
      <w:sz w:val="80"/>
      <w:szCs w:val="80"/>
    </w:rPr>
  </w:style>
  <w:style w:type="paragraph" w:customStyle="1" w:styleId="Title3">
    <w:name w:val="Title 3"/>
    <w:basedOn w:val="Normal"/>
    <w:qFormat/>
    <w:rsid w:val="008C7B7F"/>
    <w:pPr>
      <w:keepNext/>
      <w:keepLines/>
      <w:spacing w:after="0" w:line="264" w:lineRule="auto"/>
      <w:ind w:left="360" w:hanging="360"/>
    </w:pPr>
    <w:rPr>
      <w:rFonts w:ascii="Georgia" w:eastAsiaTheme="majorEastAsia" w:hAnsi="Georgia" w:cstheme="majorBidi"/>
      <w:bCs/>
      <w:i/>
      <w:color w:val="003A5F" w:themeColor="text1"/>
      <w:sz w:val="48"/>
      <w:szCs w:val="48"/>
    </w:rPr>
  </w:style>
  <w:style w:type="paragraph" w:customStyle="1" w:styleId="AfterGraphicTable">
    <w:name w:val="After Graphic/Table"/>
    <w:next w:val="Normal"/>
    <w:qFormat/>
    <w:rsid w:val="00170062"/>
    <w:pPr>
      <w:spacing w:line="240" w:lineRule="auto"/>
    </w:pPr>
    <w:rPr>
      <w:rFonts w:ascii="Arial" w:eastAsia="Calibri" w:hAnsi="Arial"/>
      <w:color w:val="auto"/>
      <w:sz w:val="16"/>
      <w:szCs w:val="16"/>
    </w:rPr>
  </w:style>
  <w:style w:type="paragraph" w:styleId="Caption">
    <w:name w:val="caption"/>
    <w:next w:val="Normal"/>
    <w:uiPriority w:val="35"/>
    <w:unhideWhenUsed/>
    <w:qFormat/>
    <w:rsid w:val="0068068B"/>
    <w:pPr>
      <w:keepNext/>
      <w:spacing w:line="240" w:lineRule="auto"/>
    </w:pPr>
    <w:rPr>
      <w:rFonts w:eastAsia="Calibri"/>
      <w:b/>
      <w:bCs/>
      <w:color w:val="00599C" w:themeColor="text2"/>
      <w:sz w:val="18"/>
      <w:szCs w:val="18"/>
    </w:rPr>
  </w:style>
  <w:style w:type="paragraph" w:customStyle="1" w:styleId="ProcedureBody">
    <w:name w:val="Procedure Body"/>
    <w:basedOn w:val="Normal"/>
    <w:qFormat/>
    <w:rsid w:val="004D14B2"/>
    <w:pPr>
      <w:ind w:left="720"/>
    </w:pPr>
    <w:rPr>
      <w:rFonts w:eastAsia="Calibri"/>
      <w:color w:val="auto"/>
    </w:rPr>
  </w:style>
  <w:style w:type="paragraph" w:customStyle="1" w:styleId="ProcedureBullet">
    <w:name w:val="Procedure Bullet"/>
    <w:basedOn w:val="ListBullet"/>
    <w:link w:val="ProcedureBulletChar"/>
    <w:qFormat/>
    <w:rsid w:val="00CF7CC5"/>
    <w:pPr>
      <w:spacing w:after="120"/>
      <w:ind w:left="994" w:hanging="274"/>
    </w:pPr>
  </w:style>
  <w:style w:type="character" w:customStyle="1" w:styleId="ProcedureBulletChar">
    <w:name w:val="Procedure Bullet Char"/>
    <w:basedOn w:val="DefaultParagraphFont"/>
    <w:link w:val="ProcedureBullet"/>
    <w:rsid w:val="00CF7CC5"/>
  </w:style>
  <w:style w:type="paragraph" w:customStyle="1" w:styleId="TableBullet">
    <w:name w:val="Table Bullet"/>
    <w:basedOn w:val="ListBullet"/>
    <w:qFormat/>
    <w:rsid w:val="0068068B"/>
    <w:pPr>
      <w:spacing w:after="100" w:afterAutospacing="1"/>
      <w:contextualSpacing w:val="0"/>
    </w:pPr>
  </w:style>
  <w:style w:type="paragraph" w:customStyle="1" w:styleId="TableLinkBullet">
    <w:name w:val="Table Link Bullet"/>
    <w:basedOn w:val="ListBullet"/>
    <w:next w:val="TableText"/>
    <w:qFormat/>
    <w:rsid w:val="0068068B"/>
    <w:pPr>
      <w:spacing w:afterAutospacing="1"/>
    </w:pPr>
    <w:rPr>
      <w:color w:val="00599C" w:themeColor="text2"/>
      <w:u w:val="single"/>
    </w:rPr>
  </w:style>
  <w:style w:type="character" w:styleId="Emphasis">
    <w:name w:val="Emphasis"/>
    <w:basedOn w:val="DefaultParagraphFont"/>
    <w:uiPriority w:val="20"/>
    <w:qFormat/>
    <w:locked/>
    <w:rsid w:val="0051142E"/>
    <w:rPr>
      <w:i/>
      <w:iCs/>
    </w:rPr>
  </w:style>
  <w:style w:type="character" w:customStyle="1" w:styleId="CrossReference">
    <w:name w:val="Cross Reference"/>
    <w:basedOn w:val="DefaultParagraphFont"/>
    <w:uiPriority w:val="1"/>
    <w:qFormat/>
    <w:rsid w:val="0051142E"/>
    <w:rPr>
      <w:color w:val="00599C" w:themeColor="text2"/>
      <w:u w:val="single"/>
    </w:rPr>
  </w:style>
  <w:style w:type="character" w:styleId="FollowedHyperlink">
    <w:name w:val="FollowedHyperlink"/>
    <w:basedOn w:val="DefaultParagraphFont"/>
    <w:uiPriority w:val="99"/>
    <w:semiHidden/>
    <w:unhideWhenUsed/>
    <w:rsid w:val="00DD20A0"/>
    <w:rPr>
      <w:color w:val="4991D3" w:themeColor="followedHyperlink"/>
      <w:u w:val="single"/>
    </w:rPr>
  </w:style>
  <w:style w:type="character" w:customStyle="1" w:styleId="ListParagraphChar">
    <w:name w:val="List Paragraph Char"/>
    <w:basedOn w:val="DefaultParagraphFont"/>
    <w:link w:val="ListParagraph"/>
    <w:uiPriority w:val="34"/>
    <w:rsid w:val="004D14B2"/>
    <w:rPr>
      <w:rFonts w:eastAsiaTheme="minorHAnsi"/>
    </w:rPr>
  </w:style>
  <w:style w:type="character" w:styleId="PlaceholderText">
    <w:name w:val="Placeholder Text"/>
    <w:basedOn w:val="DefaultParagraphFont"/>
    <w:uiPriority w:val="99"/>
    <w:semiHidden/>
    <w:rsid w:val="00D71C72"/>
    <w:rPr>
      <w:color w:val="808080"/>
    </w:rPr>
  </w:style>
  <w:style w:type="paragraph" w:customStyle="1" w:styleId="BodyCopy">
    <w:name w:val="Body Copy"/>
    <w:qFormat/>
    <w:rsid w:val="001A0122"/>
    <w:pPr>
      <w:spacing w:after="240" w:line="240" w:lineRule="auto"/>
    </w:pPr>
    <w:rPr>
      <w:rFonts w:ascii="Arial" w:eastAsia="Calibri" w:hAnsi="Arial"/>
      <w:color w:val="auto"/>
      <w:sz w:val="20"/>
    </w:rPr>
  </w:style>
  <w:style w:type="paragraph" w:customStyle="1" w:styleId="ProcedureIntro">
    <w:name w:val="Procedure Intro"/>
    <w:basedOn w:val="Normal"/>
    <w:next w:val="ListBullet"/>
    <w:qFormat/>
    <w:rsid w:val="00E35250"/>
    <w:pPr>
      <w:numPr>
        <w:numId w:val="7"/>
      </w:numPr>
    </w:pPr>
  </w:style>
  <w:style w:type="paragraph" w:customStyle="1" w:styleId="ProcedureAlphaBullet">
    <w:name w:val="Procedure Alpha Bullet"/>
    <w:basedOn w:val="ProcedureBullet"/>
    <w:qFormat/>
    <w:rsid w:val="00EC62AF"/>
    <w:pPr>
      <w:numPr>
        <w:numId w:val="8"/>
      </w:numPr>
    </w:pPr>
  </w:style>
  <w:style w:type="paragraph" w:customStyle="1" w:styleId="TableAlphaBullet">
    <w:name w:val="Table Alpha Bullet"/>
    <w:basedOn w:val="TableBullet"/>
    <w:qFormat/>
    <w:rsid w:val="004750E0"/>
    <w:pPr>
      <w:numPr>
        <w:numId w:val="9"/>
      </w:numPr>
      <w:spacing w:after="60" w:afterAutospacing="0"/>
      <w:ind w:left="763"/>
    </w:pPr>
  </w:style>
  <w:style w:type="character" w:styleId="Strong">
    <w:name w:val="Strong"/>
    <w:basedOn w:val="DefaultParagraphFont"/>
    <w:uiPriority w:val="22"/>
    <w:qFormat/>
    <w:locked/>
    <w:rsid w:val="00A9279E"/>
    <w:rPr>
      <w:b/>
      <w:bCs/>
    </w:rPr>
  </w:style>
  <w:style w:type="paragraph" w:customStyle="1" w:styleId="Advisory">
    <w:name w:val="Advisory"/>
    <w:basedOn w:val="Normal"/>
    <w:qFormat/>
    <w:rsid w:val="00FC713A"/>
    <w:pPr>
      <w:spacing w:line="276" w:lineRule="auto"/>
    </w:pPr>
    <w:rPr>
      <w:i/>
      <w:iCs/>
      <w:szCs w:val="20"/>
    </w:rPr>
  </w:style>
  <w:style w:type="character" w:customStyle="1" w:styleId="fbinfo1">
    <w:name w:val="fbinfo1"/>
    <w:basedOn w:val="DefaultParagraphFont"/>
    <w:rsid w:val="00E417F4"/>
    <w:rPr>
      <w:b/>
      <w:bCs/>
      <w:color w:val="000000"/>
      <w:shd w:val="clear" w:color="auto" w:fill="FFE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0799">
      <w:bodyDiv w:val="1"/>
      <w:marLeft w:val="0"/>
      <w:marRight w:val="0"/>
      <w:marTop w:val="0"/>
      <w:marBottom w:val="0"/>
      <w:divBdr>
        <w:top w:val="none" w:sz="0" w:space="0" w:color="auto"/>
        <w:left w:val="none" w:sz="0" w:space="0" w:color="auto"/>
        <w:bottom w:val="none" w:sz="0" w:space="0" w:color="auto"/>
        <w:right w:val="none" w:sz="0" w:space="0" w:color="auto"/>
      </w:divBdr>
    </w:div>
    <w:div w:id="221253442">
      <w:bodyDiv w:val="1"/>
      <w:marLeft w:val="0"/>
      <w:marRight w:val="0"/>
      <w:marTop w:val="0"/>
      <w:marBottom w:val="0"/>
      <w:divBdr>
        <w:top w:val="none" w:sz="0" w:space="0" w:color="auto"/>
        <w:left w:val="none" w:sz="0" w:space="0" w:color="auto"/>
        <w:bottom w:val="none" w:sz="0" w:space="0" w:color="auto"/>
        <w:right w:val="none" w:sz="0" w:space="0" w:color="auto"/>
      </w:divBdr>
    </w:div>
    <w:div w:id="567764145">
      <w:bodyDiv w:val="1"/>
      <w:marLeft w:val="0"/>
      <w:marRight w:val="0"/>
      <w:marTop w:val="0"/>
      <w:marBottom w:val="0"/>
      <w:divBdr>
        <w:top w:val="none" w:sz="0" w:space="0" w:color="auto"/>
        <w:left w:val="none" w:sz="0" w:space="0" w:color="auto"/>
        <w:bottom w:val="none" w:sz="0" w:space="0" w:color="auto"/>
        <w:right w:val="none" w:sz="0" w:space="0" w:color="auto"/>
      </w:divBdr>
    </w:div>
    <w:div w:id="874191534">
      <w:bodyDiv w:val="1"/>
      <w:marLeft w:val="0"/>
      <w:marRight w:val="0"/>
      <w:marTop w:val="0"/>
      <w:marBottom w:val="0"/>
      <w:divBdr>
        <w:top w:val="none" w:sz="0" w:space="0" w:color="auto"/>
        <w:left w:val="none" w:sz="0" w:space="0" w:color="auto"/>
        <w:bottom w:val="none" w:sz="0" w:space="0" w:color="auto"/>
        <w:right w:val="none" w:sz="0" w:space="0" w:color="auto"/>
      </w:divBdr>
    </w:div>
    <w:div w:id="878856360">
      <w:bodyDiv w:val="1"/>
      <w:marLeft w:val="0"/>
      <w:marRight w:val="0"/>
      <w:marTop w:val="0"/>
      <w:marBottom w:val="0"/>
      <w:divBdr>
        <w:top w:val="none" w:sz="0" w:space="0" w:color="auto"/>
        <w:left w:val="none" w:sz="0" w:space="0" w:color="auto"/>
        <w:bottom w:val="none" w:sz="0" w:space="0" w:color="auto"/>
        <w:right w:val="none" w:sz="0" w:space="0" w:color="auto"/>
      </w:divBdr>
      <w:divsChild>
        <w:div w:id="335352482">
          <w:marLeft w:val="0"/>
          <w:marRight w:val="0"/>
          <w:marTop w:val="0"/>
          <w:marBottom w:val="0"/>
          <w:divBdr>
            <w:top w:val="none" w:sz="0" w:space="0" w:color="auto"/>
            <w:left w:val="none" w:sz="0" w:space="0" w:color="auto"/>
            <w:bottom w:val="none" w:sz="0" w:space="0" w:color="auto"/>
            <w:right w:val="none" w:sz="0" w:space="0" w:color="auto"/>
          </w:divBdr>
          <w:divsChild>
            <w:div w:id="1526870620">
              <w:marLeft w:val="0"/>
              <w:marRight w:val="0"/>
              <w:marTop w:val="0"/>
              <w:marBottom w:val="0"/>
              <w:divBdr>
                <w:top w:val="none" w:sz="0" w:space="0" w:color="auto"/>
                <w:left w:val="none" w:sz="0" w:space="0" w:color="auto"/>
                <w:bottom w:val="none" w:sz="0" w:space="0" w:color="auto"/>
                <w:right w:val="none" w:sz="0" w:space="0" w:color="auto"/>
              </w:divBdr>
              <w:divsChild>
                <w:div w:id="988827205">
                  <w:marLeft w:val="0"/>
                  <w:marRight w:val="0"/>
                  <w:marTop w:val="0"/>
                  <w:marBottom w:val="0"/>
                  <w:divBdr>
                    <w:top w:val="none" w:sz="0" w:space="0" w:color="auto"/>
                    <w:left w:val="none" w:sz="0" w:space="0" w:color="auto"/>
                    <w:bottom w:val="none" w:sz="0" w:space="0" w:color="auto"/>
                    <w:right w:val="none" w:sz="0" w:space="0" w:color="auto"/>
                  </w:divBdr>
                  <w:divsChild>
                    <w:div w:id="905410840">
                      <w:marLeft w:val="0"/>
                      <w:marRight w:val="0"/>
                      <w:marTop w:val="0"/>
                      <w:marBottom w:val="0"/>
                      <w:divBdr>
                        <w:top w:val="none" w:sz="0" w:space="0" w:color="auto"/>
                        <w:left w:val="none" w:sz="0" w:space="0" w:color="auto"/>
                        <w:bottom w:val="none" w:sz="0" w:space="0" w:color="auto"/>
                        <w:right w:val="none" w:sz="0" w:space="0" w:color="auto"/>
                      </w:divBdr>
                      <w:divsChild>
                        <w:div w:id="459343093">
                          <w:marLeft w:val="0"/>
                          <w:marRight w:val="0"/>
                          <w:marTop w:val="0"/>
                          <w:marBottom w:val="0"/>
                          <w:divBdr>
                            <w:top w:val="none" w:sz="0" w:space="0" w:color="auto"/>
                            <w:left w:val="none" w:sz="0" w:space="0" w:color="auto"/>
                            <w:bottom w:val="none" w:sz="0" w:space="0" w:color="auto"/>
                            <w:right w:val="none" w:sz="0" w:space="0" w:color="auto"/>
                          </w:divBdr>
                          <w:divsChild>
                            <w:div w:id="1591618494">
                              <w:marLeft w:val="0"/>
                              <w:marRight w:val="0"/>
                              <w:marTop w:val="0"/>
                              <w:marBottom w:val="0"/>
                              <w:divBdr>
                                <w:top w:val="none" w:sz="0" w:space="0" w:color="auto"/>
                                <w:left w:val="none" w:sz="0" w:space="0" w:color="auto"/>
                                <w:bottom w:val="none" w:sz="0" w:space="0" w:color="auto"/>
                                <w:right w:val="none" w:sz="0" w:space="0" w:color="auto"/>
                              </w:divBdr>
                              <w:divsChild>
                                <w:div w:id="180365607">
                                  <w:marLeft w:val="0"/>
                                  <w:marRight w:val="0"/>
                                  <w:marTop w:val="0"/>
                                  <w:marBottom w:val="0"/>
                                  <w:divBdr>
                                    <w:top w:val="none" w:sz="0" w:space="0" w:color="auto"/>
                                    <w:left w:val="none" w:sz="0" w:space="0" w:color="auto"/>
                                    <w:bottom w:val="none" w:sz="0" w:space="0" w:color="auto"/>
                                    <w:right w:val="none" w:sz="0" w:space="0" w:color="auto"/>
                                  </w:divBdr>
                                  <w:divsChild>
                                    <w:div w:id="1307978625">
                                      <w:marLeft w:val="0"/>
                                      <w:marRight w:val="0"/>
                                      <w:marTop w:val="0"/>
                                      <w:marBottom w:val="0"/>
                                      <w:divBdr>
                                        <w:top w:val="none" w:sz="0" w:space="0" w:color="auto"/>
                                        <w:left w:val="none" w:sz="0" w:space="0" w:color="auto"/>
                                        <w:bottom w:val="none" w:sz="0" w:space="0" w:color="auto"/>
                                        <w:right w:val="none" w:sz="0" w:space="0" w:color="auto"/>
                                      </w:divBdr>
                                      <w:divsChild>
                                        <w:div w:id="1284650010">
                                          <w:marLeft w:val="0"/>
                                          <w:marRight w:val="0"/>
                                          <w:marTop w:val="0"/>
                                          <w:marBottom w:val="0"/>
                                          <w:divBdr>
                                            <w:top w:val="none" w:sz="0" w:space="0" w:color="auto"/>
                                            <w:left w:val="none" w:sz="0" w:space="0" w:color="auto"/>
                                            <w:bottom w:val="none" w:sz="0" w:space="0" w:color="auto"/>
                                            <w:right w:val="none" w:sz="0" w:space="0" w:color="auto"/>
                                          </w:divBdr>
                                          <w:divsChild>
                                            <w:div w:id="1175536139">
                                              <w:marLeft w:val="0"/>
                                              <w:marRight w:val="0"/>
                                              <w:marTop w:val="0"/>
                                              <w:marBottom w:val="0"/>
                                              <w:divBdr>
                                                <w:top w:val="none" w:sz="0" w:space="0" w:color="auto"/>
                                                <w:left w:val="none" w:sz="0" w:space="0" w:color="auto"/>
                                                <w:bottom w:val="none" w:sz="0" w:space="0" w:color="auto"/>
                                                <w:right w:val="none" w:sz="0" w:space="0" w:color="auto"/>
                                              </w:divBdr>
                                              <w:divsChild>
                                                <w:div w:id="472917200">
                                                  <w:marLeft w:val="0"/>
                                                  <w:marRight w:val="0"/>
                                                  <w:marTop w:val="0"/>
                                                  <w:marBottom w:val="0"/>
                                                  <w:divBdr>
                                                    <w:top w:val="none" w:sz="0" w:space="0" w:color="auto"/>
                                                    <w:left w:val="none" w:sz="0" w:space="0" w:color="auto"/>
                                                    <w:bottom w:val="none" w:sz="0" w:space="0" w:color="auto"/>
                                                    <w:right w:val="none" w:sz="0" w:space="0" w:color="auto"/>
                                                  </w:divBdr>
                                                  <w:divsChild>
                                                    <w:div w:id="1576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85081">
      <w:bodyDiv w:val="1"/>
      <w:marLeft w:val="0"/>
      <w:marRight w:val="0"/>
      <w:marTop w:val="0"/>
      <w:marBottom w:val="0"/>
      <w:divBdr>
        <w:top w:val="none" w:sz="0" w:space="0" w:color="auto"/>
        <w:left w:val="none" w:sz="0" w:space="0" w:color="auto"/>
        <w:bottom w:val="none" w:sz="0" w:space="0" w:color="auto"/>
        <w:right w:val="none" w:sz="0" w:space="0" w:color="auto"/>
      </w:divBdr>
    </w:div>
    <w:div w:id="1245408677">
      <w:bodyDiv w:val="1"/>
      <w:marLeft w:val="0"/>
      <w:marRight w:val="0"/>
      <w:marTop w:val="0"/>
      <w:marBottom w:val="0"/>
      <w:divBdr>
        <w:top w:val="none" w:sz="0" w:space="0" w:color="auto"/>
        <w:left w:val="none" w:sz="0" w:space="0" w:color="auto"/>
        <w:bottom w:val="none" w:sz="0" w:space="0" w:color="auto"/>
        <w:right w:val="none" w:sz="0" w:space="0" w:color="auto"/>
      </w:divBdr>
    </w:div>
    <w:div w:id="1389380954">
      <w:bodyDiv w:val="1"/>
      <w:marLeft w:val="0"/>
      <w:marRight w:val="0"/>
      <w:marTop w:val="0"/>
      <w:marBottom w:val="0"/>
      <w:divBdr>
        <w:top w:val="none" w:sz="0" w:space="0" w:color="auto"/>
        <w:left w:val="none" w:sz="0" w:space="0" w:color="auto"/>
        <w:bottom w:val="none" w:sz="0" w:space="0" w:color="auto"/>
        <w:right w:val="none" w:sz="0" w:space="0" w:color="auto"/>
      </w:divBdr>
    </w:div>
    <w:div w:id="1630209933">
      <w:bodyDiv w:val="1"/>
      <w:marLeft w:val="0"/>
      <w:marRight w:val="0"/>
      <w:marTop w:val="0"/>
      <w:marBottom w:val="0"/>
      <w:divBdr>
        <w:top w:val="none" w:sz="0" w:space="0" w:color="auto"/>
        <w:left w:val="none" w:sz="0" w:space="0" w:color="auto"/>
        <w:bottom w:val="none" w:sz="0" w:space="0" w:color="auto"/>
        <w:right w:val="none" w:sz="0" w:space="0" w:color="auto"/>
      </w:divBdr>
    </w:div>
    <w:div w:id="19989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ork 6">
      <a:dk1>
        <a:srgbClr val="003A5F"/>
      </a:dk1>
      <a:lt1>
        <a:sysClr val="window" lastClr="FFFFFF"/>
      </a:lt1>
      <a:dk2>
        <a:srgbClr val="00599C"/>
      </a:dk2>
      <a:lt2>
        <a:srgbClr val="A5C6EA"/>
      </a:lt2>
      <a:accent1>
        <a:srgbClr val="003D7D"/>
      </a:accent1>
      <a:accent2>
        <a:srgbClr val="2078BD"/>
      </a:accent2>
      <a:accent3>
        <a:srgbClr val="144E9D"/>
      </a:accent3>
      <a:accent4>
        <a:srgbClr val="2288B1"/>
      </a:accent4>
      <a:accent5>
        <a:srgbClr val="3877BC"/>
      </a:accent5>
      <a:accent6>
        <a:srgbClr val="229488"/>
      </a:accent6>
      <a:hlink>
        <a:srgbClr val="99CCFF"/>
      </a:hlink>
      <a:folHlink>
        <a:srgbClr val="4991D3"/>
      </a:folHlink>
    </a:clrScheme>
    <a:fontScheme name="IQ Na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60A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60A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10149F02F06E40A5AD026DABD1FF7F" ma:contentTypeVersion="13" ma:contentTypeDescription="Create a new document." ma:contentTypeScope="" ma:versionID="84d8b7a1cb8e7ee0a289c2abca6d1434">
  <xsd:schema xmlns:xsd="http://www.w3.org/2001/XMLSchema" xmlns:xs="http://www.w3.org/2001/XMLSchema" xmlns:p="http://schemas.microsoft.com/office/2006/metadata/properties" xmlns:ns3="2db52d45-447a-427b-b389-2378688215d3" xmlns:ns4="ba8836d5-a611-4c9e-8434-4d2aee2c43be" targetNamespace="http://schemas.microsoft.com/office/2006/metadata/properties" ma:root="true" ma:fieldsID="c5879b011b67fbaafea8f46fff6812a5" ns3:_="" ns4:_="">
    <xsd:import namespace="2db52d45-447a-427b-b389-2378688215d3"/>
    <xsd:import namespace="ba8836d5-a611-4c9e-8434-4d2aee2c43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52d45-447a-427b-b389-2378688215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836d5-a611-4c9e-8434-4d2aee2c43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6B844-BF89-475A-9189-F7931927594B}">
  <ds:schemaRefs>
    <ds:schemaRef ds:uri="http://schemas.openxmlformats.org/officeDocument/2006/bibliography"/>
  </ds:schemaRefs>
</ds:datastoreItem>
</file>

<file path=customXml/itemProps2.xml><?xml version="1.0" encoding="utf-8"?>
<ds:datastoreItem xmlns:ds="http://schemas.openxmlformats.org/officeDocument/2006/customXml" ds:itemID="{0CA7EEAA-D595-42E5-B549-FD653A76D429}">
  <ds:schemaRefs>
    <ds:schemaRef ds:uri="http://schemas.microsoft.com/office/2006/documentManagement/types"/>
    <ds:schemaRef ds:uri="http://purl.org/dc/dcmitype/"/>
    <ds:schemaRef ds:uri="http://purl.org/dc/terms/"/>
    <ds:schemaRef ds:uri="ba8836d5-a611-4c9e-8434-4d2aee2c43be"/>
    <ds:schemaRef ds:uri="http://schemas.microsoft.com/office/2006/metadata/properties"/>
    <ds:schemaRef ds:uri="2db52d45-447a-427b-b389-2378688215d3"/>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FD09176-E1D6-413B-810C-0B7063804B48}">
  <ds:schemaRefs>
    <ds:schemaRef ds:uri="http://schemas.microsoft.com/sharepoint/v3/contenttype/forms"/>
  </ds:schemaRefs>
</ds:datastoreItem>
</file>

<file path=customXml/itemProps4.xml><?xml version="1.0" encoding="utf-8"?>
<ds:datastoreItem xmlns:ds="http://schemas.openxmlformats.org/officeDocument/2006/customXml" ds:itemID="{B5C53940-09D2-4F9F-8218-5D856D9D6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52d45-447a-427b-b389-2378688215d3"/>
    <ds:schemaRef ds:uri="ba8836d5-a611-4c9e-8434-4d2aee2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IQNavigator</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IQN VMS Supplier: Approve/Reject Offers</dc:title>
  <dc:creator>Beeline</dc:creator>
  <cp:keywords>Supplier;HowTo</cp:keywords>
  <cp:lastModifiedBy>Tricia Price</cp:lastModifiedBy>
  <cp:revision>2</cp:revision>
  <cp:lastPrinted>2016-05-02T21:32:00Z</cp:lastPrinted>
  <dcterms:created xsi:type="dcterms:W3CDTF">2022-02-18T22:07:00Z</dcterms:created>
  <dcterms:modified xsi:type="dcterms:W3CDTF">2022-02-18T22:07:00Z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0x010100F410149F02F06E40A5AD026DABD1FF7F</vt:lpwstr>
  </property>
  <property fmtid="{D5CDD505-2E9C-101B-9397-08002B2CF9AE}" pid="3" name="Content Type">
    <vt:lpwstr>53;#.Template|66766ac7-9ac0-4574-bf0c-1ccec7c0f32f</vt:lpwstr>
  </property>
  <property fmtid="{D5CDD505-2E9C-101B-9397-08002B2CF9AE}" pid="4" name="Subject_x0020_Category">
    <vt:lpwstr>27;#Company|a0f73477-2f2d-419c-945f-d01f10bcc7ea</vt:lpwstr>
  </property>
  <property fmtid="{D5CDD505-2E9C-101B-9397-08002B2CF9AE}" pid="5" name="Enterprise Keywords">
    <vt:lpwstr/>
  </property>
  <property fmtid="{D5CDD505-2E9C-101B-9397-08002B2CF9AE}" pid="6" name="Subject Category">
    <vt:lpwstr>27</vt:lpwstr>
  </property>
</Properties>
</file>