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1839FE58" w:rsidR="007066E3" w:rsidRDefault="00993157" w:rsidP="004F1E13">
      <w:pPr>
        <w:pStyle w:val="Heading1"/>
      </w:pPr>
      <w:bookmarkStart w:id="0" w:name="_Toc442782752"/>
      <w:r>
        <w:t>PMO</w:t>
      </w:r>
      <w:r w:rsidR="007F65B4">
        <w:t xml:space="preserve">: </w:t>
      </w:r>
      <w:r>
        <w:t>Submit Offer</w:t>
      </w:r>
    </w:p>
    <w:p w14:paraId="5744D51A" w14:textId="34883DCD" w:rsidR="007066E3" w:rsidRPr="00DB2499" w:rsidRDefault="00A9279E" w:rsidP="00BE1EE1">
      <w:r w:rsidRPr="00A9279E">
        <w:t xml:space="preserve">This document provides </w:t>
      </w:r>
      <w:r w:rsidR="00993157">
        <w:t>Program Office</w:t>
      </w:r>
      <w:r w:rsidRPr="00A9279E">
        <w:t xml:space="preserve"> </w:t>
      </w:r>
      <w:r w:rsidR="00993157">
        <w:t xml:space="preserve">staff </w:t>
      </w:r>
      <w:r w:rsidRPr="00A9279E">
        <w:t xml:space="preserve">with the steps necessary to </w:t>
      </w:r>
      <w:r w:rsidR="00911F40">
        <w:t xml:space="preserve">submit offers to </w:t>
      </w:r>
      <w:r w:rsidR="00B722C9">
        <w:t xml:space="preserve">the </w:t>
      </w:r>
      <w:r w:rsidR="00911F40">
        <w:t>supplier</w:t>
      </w:r>
      <w:r w:rsidR="00B722C9">
        <w:t xml:space="preserve"> organization</w:t>
      </w:r>
      <w:r w:rsidR="00FB0E10">
        <w:t xml:space="preserve">. </w:t>
      </w:r>
      <w:r w:rsidRPr="00A9279E">
        <w:t xml:space="preserve">This guide uses standard </w:t>
      </w:r>
      <w:r w:rsidR="00FD2A1E">
        <w:t xml:space="preserve">IQN VMS </w:t>
      </w:r>
      <w:r w:rsidRPr="00A9279E">
        <w:t xml:space="preserve">configuration. Your specific setup may vary slightly based on your </w:t>
      </w:r>
      <w:r w:rsidR="004963ED">
        <w:t>client</w:t>
      </w:r>
      <w:r w:rsidRPr="00A9279E">
        <w:t>'s configuration.</w:t>
      </w:r>
    </w:p>
    <w:p w14:paraId="5AE0ADBF" w14:textId="68E9654F" w:rsidR="00AC4334" w:rsidRPr="007066E3" w:rsidRDefault="00A9279E" w:rsidP="004F1E13">
      <w:pPr>
        <w:pStyle w:val="Heading2"/>
      </w:pPr>
      <w:r>
        <w:t xml:space="preserve">To </w:t>
      </w:r>
      <w:r w:rsidR="0077653A">
        <w:t>review an offer</w:t>
      </w:r>
      <w:r>
        <w:t>:</w:t>
      </w:r>
    </w:p>
    <w:p w14:paraId="755EB188" w14:textId="19280A72" w:rsidR="00A9279E" w:rsidRPr="00722937" w:rsidRDefault="00A9279E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="00451618" w:rsidRPr="00451618">
        <w:rPr>
          <w:i/>
          <w:szCs w:val="20"/>
        </w:rPr>
        <w:t xml:space="preserve">Make your Buyer Organization selection during login or use the Change Organization feature once your Home dashboard </w:t>
      </w:r>
      <w:r w:rsidR="00451618">
        <w:rPr>
          <w:i/>
          <w:szCs w:val="20"/>
        </w:rPr>
        <w:t>appears</w:t>
      </w:r>
      <w:r w:rsidR="00451618" w:rsidRPr="00451618">
        <w:rPr>
          <w:i/>
          <w:szCs w:val="20"/>
        </w:rPr>
        <w:t>.</w:t>
      </w:r>
    </w:p>
    <w:p w14:paraId="1CF856E2" w14:textId="56164FC0" w:rsidR="002B2292" w:rsidRPr="006F684D" w:rsidRDefault="002B2292" w:rsidP="002B2292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the </w:t>
      </w:r>
      <w:r>
        <w:rPr>
          <w:b/>
          <w:bCs/>
          <w:szCs w:val="20"/>
        </w:rPr>
        <w:t>Manage</w:t>
      </w:r>
      <w:r w:rsidRPr="006F684D">
        <w:rPr>
          <w:szCs w:val="20"/>
        </w:rPr>
        <w:t xml:space="preserve"> menu drop-down arrow</w:t>
      </w:r>
      <w:r>
        <w:rPr>
          <w:szCs w:val="20"/>
        </w:rPr>
        <w:t xml:space="preserve"> located in the Header Menu bar</w:t>
      </w:r>
      <w:r w:rsidRPr="006F684D">
        <w:rPr>
          <w:szCs w:val="20"/>
        </w:rPr>
        <w:t>.</w:t>
      </w:r>
    </w:p>
    <w:p w14:paraId="4CCDAA43" w14:textId="4C95AE36" w:rsidR="002B2292" w:rsidRDefault="002B2292" w:rsidP="002B2292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</w:t>
      </w:r>
      <w:r>
        <w:rPr>
          <w:b/>
          <w:szCs w:val="20"/>
        </w:rPr>
        <w:t>Requisitions</w:t>
      </w:r>
      <w:r>
        <w:rPr>
          <w:szCs w:val="20"/>
        </w:rPr>
        <w:t>. The Positions screen appears.</w:t>
      </w:r>
    </w:p>
    <w:p w14:paraId="787664E1" w14:textId="491FDEFA" w:rsidR="00AC4334" w:rsidRDefault="0001457F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Use the Search box (</w:t>
      </w:r>
      <w:r>
        <w:rPr>
          <w:noProof/>
        </w:rPr>
        <w:drawing>
          <wp:inline distT="0" distB="0" distL="0" distR="0" wp14:anchorId="6C161105" wp14:editId="79B0ABB4">
            <wp:extent cx="161290" cy="16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719" cy="1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</w:t>
      </w:r>
      <w:r w:rsidR="00FA5D8C">
        <w:rPr>
          <w:szCs w:val="20"/>
        </w:rPr>
        <w:t xml:space="preserve"> or </w:t>
      </w:r>
      <w:r w:rsidR="00FA5D8C" w:rsidRPr="00FA5D8C">
        <w:rPr>
          <w:color w:val="0070C0"/>
          <w:szCs w:val="20"/>
        </w:rPr>
        <w:t>Advanced Search</w:t>
      </w:r>
      <w:r w:rsidR="00FA5D8C">
        <w:rPr>
          <w:szCs w:val="20"/>
        </w:rPr>
        <w:t xml:space="preserve"> link to </w:t>
      </w:r>
      <w:r w:rsidR="008C0894">
        <w:rPr>
          <w:szCs w:val="20"/>
        </w:rPr>
        <w:t>find</w:t>
      </w:r>
      <w:r w:rsidR="00FA5D8C">
        <w:rPr>
          <w:szCs w:val="20"/>
        </w:rPr>
        <w:t xml:space="preserve"> the Requisition </w:t>
      </w:r>
      <w:r w:rsidR="00911F40">
        <w:rPr>
          <w:szCs w:val="20"/>
        </w:rPr>
        <w:t xml:space="preserve">record </w:t>
      </w:r>
      <w:r w:rsidR="00FA5D8C">
        <w:rPr>
          <w:szCs w:val="20"/>
        </w:rPr>
        <w:t xml:space="preserve">with </w:t>
      </w:r>
      <w:r w:rsidR="00911F40">
        <w:rPr>
          <w:szCs w:val="20"/>
        </w:rPr>
        <w:t xml:space="preserve">the </w:t>
      </w:r>
      <w:r w:rsidR="00FA5D8C">
        <w:rPr>
          <w:szCs w:val="20"/>
        </w:rPr>
        <w:t>candidate</w:t>
      </w:r>
      <w:r w:rsidR="00911F40">
        <w:rPr>
          <w:szCs w:val="20"/>
        </w:rPr>
        <w:t>(</w:t>
      </w:r>
      <w:r w:rsidR="00FA5D8C">
        <w:rPr>
          <w:szCs w:val="20"/>
        </w:rPr>
        <w:t>s</w:t>
      </w:r>
      <w:r w:rsidR="00911F40">
        <w:rPr>
          <w:szCs w:val="20"/>
        </w:rPr>
        <w:t>) offer</w:t>
      </w:r>
      <w:r w:rsidR="00FA5D8C">
        <w:rPr>
          <w:szCs w:val="20"/>
        </w:rPr>
        <w:t xml:space="preserve"> </w:t>
      </w:r>
      <w:r w:rsidR="008C0894">
        <w:rPr>
          <w:szCs w:val="20"/>
        </w:rPr>
        <w:t xml:space="preserve">you </w:t>
      </w:r>
      <w:r w:rsidR="00911F40">
        <w:rPr>
          <w:szCs w:val="20"/>
        </w:rPr>
        <w:t>need</w:t>
      </w:r>
      <w:r w:rsidR="008C0894">
        <w:rPr>
          <w:szCs w:val="20"/>
        </w:rPr>
        <w:t xml:space="preserve"> </w:t>
      </w:r>
      <w:r w:rsidR="00FA5D8C">
        <w:rPr>
          <w:szCs w:val="20"/>
        </w:rPr>
        <w:t>to review</w:t>
      </w:r>
      <w:r w:rsidR="000443C0">
        <w:rPr>
          <w:szCs w:val="20"/>
        </w:rPr>
        <w:t>.</w:t>
      </w:r>
      <w:bookmarkEnd w:id="0"/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FA5D8C" w:rsidRPr="006628EF" w14:paraId="4B561065" w14:textId="77777777" w:rsidTr="008177D5">
        <w:tc>
          <w:tcPr>
            <w:tcW w:w="433" w:type="pct"/>
            <w:vAlign w:val="center"/>
          </w:tcPr>
          <w:p w14:paraId="4F930B4C" w14:textId="77777777" w:rsidR="00FA5D8C" w:rsidRPr="00A95937" w:rsidRDefault="00FA5D8C" w:rsidP="008177D5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3FBFDE83" wp14:editId="6BED8862">
                  <wp:extent cx="338328" cy="347472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63FBB11F" w14:textId="2DB218AD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>C</w:t>
            </w:r>
            <w:r w:rsidR="00FA5D8C">
              <w:t xml:space="preserve">lick </w:t>
            </w:r>
            <w:r w:rsidR="00BB7B64">
              <w:t>the</w:t>
            </w:r>
            <w:r w:rsidR="00FA5D8C">
              <w:t xml:space="preserve"> double arrow icon (</w:t>
            </w:r>
            <w:r w:rsidR="00FA5D8C">
              <w:rPr>
                <w:noProof/>
              </w:rPr>
              <w:drawing>
                <wp:inline distT="0" distB="0" distL="0" distR="0" wp14:anchorId="45029311" wp14:editId="0ED0BBC9">
                  <wp:extent cx="85714" cy="1238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" cy="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D8C">
              <w:t xml:space="preserve"> ) to change the </w:t>
            </w:r>
            <w:r w:rsidR="0000504A">
              <w:t>sort</w:t>
            </w:r>
            <w:r w:rsidR="00FA5D8C">
              <w:t xml:space="preserve"> order based on that column</w:t>
            </w:r>
          </w:p>
          <w:p w14:paraId="4D8CF12E" w14:textId="0AFA8B6E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 xml:space="preserve">Click </w:t>
            </w:r>
            <w:r w:rsidR="0000504A">
              <w:t>the Configurable Columns link (</w:t>
            </w:r>
            <w:r w:rsidR="0000504A">
              <w:rPr>
                <w:noProof/>
              </w:rPr>
              <w:drawing>
                <wp:inline distT="0" distB="0" distL="0" distR="0" wp14:anchorId="4FEFC1FE" wp14:editId="3BF20AB6">
                  <wp:extent cx="1180952" cy="171429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04A">
              <w:t xml:space="preserve">) to add/remove or change the </w:t>
            </w:r>
            <w:r w:rsidR="00BB7B64">
              <w:t xml:space="preserve">overall </w:t>
            </w:r>
            <w:r w:rsidR="0000504A">
              <w:t>display order.</w:t>
            </w:r>
          </w:p>
          <w:p w14:paraId="20D4DF02" w14:textId="652D6D89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>Use the Items per page selector (</w:t>
            </w:r>
            <w:r w:rsidR="00BB7B64">
              <w:rPr>
                <w:noProof/>
              </w:rPr>
              <w:drawing>
                <wp:inline distT="0" distB="0" distL="0" distR="0" wp14:anchorId="00E0BD0F" wp14:editId="5510D6C9">
                  <wp:extent cx="873153" cy="176098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75" cy="18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7B64">
              <w:t xml:space="preserve">) to adjust how many items display per screen. </w:t>
            </w:r>
          </w:p>
          <w:p w14:paraId="572541B1" w14:textId="7CDE7511" w:rsidR="00FA5D8C" w:rsidRPr="00FC713A" w:rsidRDefault="009D71BF" w:rsidP="009D71BF">
            <w:pPr>
              <w:pStyle w:val="Advisory"/>
              <w:rPr>
                <w:rFonts w:ascii="Times New Roman" w:hAnsi="Times New Roman"/>
              </w:rPr>
            </w:pPr>
            <w:r>
              <w:t xml:space="preserve">• </w:t>
            </w:r>
            <w:r w:rsidR="00BB7B64">
              <w:t>Click the Quick View overview icon (</w:t>
            </w:r>
            <w:r w:rsidR="00BB7B64">
              <w:rPr>
                <w:noProof/>
              </w:rPr>
              <w:drawing>
                <wp:inline distT="0" distB="0" distL="0" distR="0" wp14:anchorId="3491468F" wp14:editId="444CAD06">
                  <wp:extent cx="142857" cy="161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) to review key fields from the Requisition.</w:t>
            </w:r>
          </w:p>
        </w:tc>
      </w:tr>
    </w:tbl>
    <w:p w14:paraId="7F9E87E4" w14:textId="242488D9" w:rsidR="00FA5D8C" w:rsidRDefault="008C0894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the </w:t>
      </w:r>
      <w:r w:rsidRPr="002E076F">
        <w:rPr>
          <w:rStyle w:val="Strong"/>
        </w:rPr>
        <w:t>View Candidates</w:t>
      </w:r>
      <w:r>
        <w:rPr>
          <w:szCs w:val="20"/>
        </w:rPr>
        <w:t xml:space="preserve"> link </w:t>
      </w:r>
      <w:r w:rsidR="002E076F">
        <w:rPr>
          <w:szCs w:val="20"/>
        </w:rPr>
        <w:t>in</w:t>
      </w:r>
      <w:r>
        <w:rPr>
          <w:szCs w:val="20"/>
        </w:rPr>
        <w:t xml:space="preserve"> the Actions column once you locate</w:t>
      </w:r>
      <w:r w:rsidR="002E076F">
        <w:rPr>
          <w:szCs w:val="20"/>
        </w:rPr>
        <w:t xml:space="preserve"> the Requisition</w:t>
      </w:r>
      <w:r w:rsidR="00A06282">
        <w:rPr>
          <w:szCs w:val="20"/>
        </w:rPr>
        <w:t xml:space="preserve"> </w:t>
      </w:r>
      <w:r w:rsidR="009D71BF">
        <w:rPr>
          <w:szCs w:val="20"/>
        </w:rPr>
        <w:t>ID</w:t>
      </w:r>
      <w:r w:rsidR="005E79A0">
        <w:rPr>
          <w:szCs w:val="20"/>
        </w:rPr>
        <w:t xml:space="preserve"> line item</w:t>
      </w:r>
      <w:r w:rsidR="002E076F">
        <w:rPr>
          <w:szCs w:val="20"/>
        </w:rPr>
        <w:t xml:space="preserve">. The </w:t>
      </w:r>
      <w:r w:rsidR="009D71BF">
        <w:rPr>
          <w:szCs w:val="20"/>
        </w:rPr>
        <w:t>screen</w:t>
      </w:r>
      <w:r w:rsidR="002E076F">
        <w:rPr>
          <w:szCs w:val="20"/>
        </w:rPr>
        <w:t xml:space="preserve"> opens at the Candidates tab </w:t>
      </w:r>
      <w:r w:rsidR="009D71BF">
        <w:rPr>
          <w:szCs w:val="20"/>
        </w:rPr>
        <w:t>on the Requisition record</w:t>
      </w:r>
      <w:r w:rsidR="002E076F">
        <w:rPr>
          <w:szCs w:val="20"/>
        </w:rPr>
        <w:t>.</w:t>
      </w:r>
    </w:p>
    <w:p w14:paraId="2BFD7168" w14:textId="0050EC33" w:rsidR="000634B4" w:rsidRDefault="000634B4" w:rsidP="000634B4">
      <w:pPr>
        <w:pStyle w:val="AfterGraphicTable"/>
        <w:spacing w:after="120"/>
        <w:jc w:val="center"/>
      </w:pPr>
      <w:r>
        <w:rPr>
          <w:noProof/>
        </w:rPr>
        <w:drawing>
          <wp:inline distT="0" distB="0" distL="0" distR="0" wp14:anchorId="3377FFEB" wp14:editId="273D62C0">
            <wp:extent cx="5943600" cy="1685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Q_CandidatesTa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br/>
        <w:t>Sample Candidates Screen - Tab View</w:t>
      </w:r>
    </w:p>
    <w:p w14:paraId="3C6B44DC" w14:textId="157B6ACD" w:rsidR="003E5383" w:rsidRDefault="00092BAA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3E5383">
        <w:rPr>
          <w:szCs w:val="20"/>
        </w:rPr>
        <w:t xml:space="preserve">Click </w:t>
      </w:r>
      <w:r w:rsidRPr="003E5383">
        <w:rPr>
          <w:rStyle w:val="Strong"/>
        </w:rPr>
        <w:t>Evaluating</w:t>
      </w:r>
      <w:r w:rsidRPr="003E5383">
        <w:rPr>
          <w:szCs w:val="20"/>
        </w:rPr>
        <w:t xml:space="preserve"> to open the Evaluating tab. </w:t>
      </w:r>
      <w:r w:rsidR="00B722C9" w:rsidRPr="003E5383">
        <w:rPr>
          <w:szCs w:val="20"/>
        </w:rPr>
        <w:t>T</w:t>
      </w:r>
      <w:r w:rsidR="00A06282" w:rsidRPr="003E5383">
        <w:rPr>
          <w:szCs w:val="20"/>
        </w:rPr>
        <w:t>h</w:t>
      </w:r>
      <w:r w:rsidR="00B722C9" w:rsidRPr="003E5383">
        <w:rPr>
          <w:szCs w:val="20"/>
        </w:rPr>
        <w:t>is</w:t>
      </w:r>
      <w:r w:rsidR="00A06282" w:rsidRPr="003E5383">
        <w:rPr>
          <w:szCs w:val="20"/>
        </w:rPr>
        <w:t xml:space="preserve"> </w:t>
      </w:r>
      <w:r w:rsidR="003E5383" w:rsidRPr="003E5383">
        <w:rPr>
          <w:szCs w:val="20"/>
        </w:rPr>
        <w:t>tab</w:t>
      </w:r>
      <w:r w:rsidR="00A06282" w:rsidRPr="003E5383">
        <w:rPr>
          <w:szCs w:val="20"/>
        </w:rPr>
        <w:t xml:space="preserve"> </w:t>
      </w:r>
      <w:r w:rsidR="00480E49">
        <w:rPr>
          <w:szCs w:val="20"/>
        </w:rPr>
        <w:t>lists</w:t>
      </w:r>
      <w:r w:rsidR="00B722C9" w:rsidRPr="003E5383">
        <w:rPr>
          <w:szCs w:val="20"/>
        </w:rPr>
        <w:t xml:space="preserve"> the Buyer</w:t>
      </w:r>
      <w:r w:rsidR="003E5383" w:rsidRPr="003E5383">
        <w:rPr>
          <w:szCs w:val="20"/>
        </w:rPr>
        <w:t>’s</w:t>
      </w:r>
      <w:r w:rsidR="00B722C9" w:rsidRPr="003E5383">
        <w:rPr>
          <w:szCs w:val="20"/>
        </w:rPr>
        <w:t xml:space="preserve"> (Hiring Manager) selected</w:t>
      </w:r>
      <w:r w:rsidR="003E5383" w:rsidRPr="003E5383">
        <w:rPr>
          <w:szCs w:val="20"/>
        </w:rPr>
        <w:t xml:space="preserve"> candidates for which the PMO should </w:t>
      </w:r>
      <w:r w:rsidR="00915287">
        <w:rPr>
          <w:szCs w:val="20"/>
        </w:rPr>
        <w:t>extend an</w:t>
      </w:r>
      <w:r w:rsidR="003E5383" w:rsidRPr="003E5383">
        <w:rPr>
          <w:szCs w:val="20"/>
        </w:rPr>
        <w:t xml:space="preserve"> offer</w:t>
      </w:r>
      <w:r w:rsidR="00673D5E">
        <w:rPr>
          <w:szCs w:val="20"/>
        </w:rPr>
        <w:t xml:space="preserve"> to the supplier organization</w:t>
      </w:r>
      <w:r w:rsidR="003E5383" w:rsidRPr="003E5383">
        <w:rPr>
          <w:szCs w:val="20"/>
        </w:rPr>
        <w:t>.</w:t>
      </w:r>
      <w:r w:rsidR="00A06282" w:rsidRPr="003E5383">
        <w:rPr>
          <w:szCs w:val="20"/>
        </w:rPr>
        <w:t xml:space="preserve"> </w:t>
      </w:r>
    </w:p>
    <w:p w14:paraId="12EDA9BB" w14:textId="77777777" w:rsidR="0077653A" w:rsidRDefault="0077653A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  <w:sectPr w:rsidR="0077653A" w:rsidSect="00BE1EE1">
          <w:headerReference w:type="default" r:id="rId18"/>
          <w:footerReference w:type="default" r:id="rId19"/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55D50E0D" w14:textId="4D8CE7CF" w:rsidR="00B33FFE" w:rsidRDefault="00033A9D" w:rsidP="00F53D20">
      <w:pPr>
        <w:pStyle w:val="Heading3"/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To </w:t>
      </w:r>
      <w:r w:rsidR="00521CBD">
        <w:rPr>
          <w:rStyle w:val="Emphasis"/>
          <w:i w:val="0"/>
        </w:rPr>
        <w:t>submit</w:t>
      </w:r>
      <w:r w:rsidR="00D964AC">
        <w:rPr>
          <w:rStyle w:val="Emphasis"/>
          <w:i w:val="0"/>
        </w:rPr>
        <w:t xml:space="preserve"> an offer</w:t>
      </w:r>
      <w:r w:rsidR="001F00D6">
        <w:rPr>
          <w:rStyle w:val="Emphasis"/>
          <w:i w:val="0"/>
        </w:rPr>
        <w:t xml:space="preserve"> to the supplier</w:t>
      </w:r>
      <w:r w:rsidR="00D964AC">
        <w:rPr>
          <w:rStyle w:val="Emphasis"/>
          <w:i w:val="0"/>
        </w:rPr>
        <w:t>:</w:t>
      </w:r>
    </w:p>
    <w:p w14:paraId="23098E32" w14:textId="68F4DFEA" w:rsidR="000C496D" w:rsidRPr="00174675" w:rsidRDefault="00B252C9" w:rsidP="00057AF3">
      <w:pPr>
        <w:numPr>
          <w:ilvl w:val="0"/>
          <w:numId w:val="23"/>
        </w:numPr>
        <w:ind w:left="1080"/>
        <w:rPr>
          <w:szCs w:val="20"/>
        </w:rPr>
      </w:pPr>
      <w:r>
        <w:t>Complete Steps 1 through 6 as described above.</w:t>
      </w:r>
    </w:p>
    <w:p w14:paraId="153EF485" w14:textId="0A875930" w:rsidR="00174675" w:rsidRPr="00174675" w:rsidRDefault="00174675" w:rsidP="00057AF3">
      <w:pPr>
        <w:numPr>
          <w:ilvl w:val="0"/>
          <w:numId w:val="23"/>
        </w:numPr>
        <w:ind w:left="1080"/>
        <w:rPr>
          <w:szCs w:val="20"/>
        </w:rPr>
      </w:pPr>
      <w:r>
        <w:t>Click the Make Offer button (</w:t>
      </w:r>
      <w:r>
        <w:rPr>
          <w:noProof/>
        </w:rPr>
        <w:drawing>
          <wp:inline distT="0" distB="0" distL="0" distR="0" wp14:anchorId="7E7AF4A9" wp14:editId="4BAE9C8E">
            <wp:extent cx="531699" cy="198395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469" cy="20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in the Progress column </w:t>
      </w:r>
      <w:r w:rsidR="00673D5E">
        <w:t>(</w:t>
      </w:r>
      <w:r>
        <w:t>beneath the status bar</w:t>
      </w:r>
      <w:r w:rsidR="00673D5E">
        <w:t>) for the candidate</w:t>
      </w:r>
      <w:r w:rsidR="00D626CD">
        <w:t xml:space="preserve"> </w:t>
      </w:r>
      <w:r w:rsidR="00067EDF">
        <w:t xml:space="preserve">listed </w:t>
      </w:r>
      <w:r w:rsidR="00D626CD">
        <w:t>in the Extend an Offer notification</w:t>
      </w:r>
      <w:r>
        <w:t>. The Edit Assignment screen appears.</w:t>
      </w:r>
    </w:p>
    <w:p w14:paraId="465C5B9B" w14:textId="64569AAE" w:rsidR="00174675" w:rsidRPr="00067EDF" w:rsidRDefault="00174675" w:rsidP="00057AF3">
      <w:pPr>
        <w:numPr>
          <w:ilvl w:val="0"/>
          <w:numId w:val="23"/>
        </w:numPr>
        <w:ind w:left="1080"/>
        <w:rPr>
          <w:szCs w:val="20"/>
        </w:rPr>
      </w:pPr>
      <w:r>
        <w:t>Review the Contract Terms and Assignment Details section</w:t>
      </w:r>
      <w:r w:rsidR="00237FA3">
        <w:t>s</w:t>
      </w:r>
      <w:r>
        <w:t>. Make adjustments as needed.</w:t>
      </w:r>
      <w:r w:rsidR="00F51C80">
        <w:t xml:space="preserve"> Required fields are noted by a </w:t>
      </w:r>
      <w:r w:rsidR="00F51C80" w:rsidRPr="00F51C80">
        <w:rPr>
          <w:color w:val="C00000"/>
        </w:rPr>
        <w:t xml:space="preserve">red asterisk </w:t>
      </w:r>
      <w:r w:rsidR="00F51C80">
        <w:t>(</w:t>
      </w:r>
      <w:r w:rsidR="00F51C80" w:rsidRPr="00F51C80">
        <w:rPr>
          <w:color w:val="C00000"/>
        </w:rPr>
        <w:t>*</w:t>
      </w:r>
      <w:r w:rsidR="00F51C80">
        <w:t>).</w:t>
      </w:r>
    </w:p>
    <w:p w14:paraId="59B3C29F" w14:textId="1DA25A27" w:rsidR="00F51C80" w:rsidRPr="00F51C80" w:rsidRDefault="00F51C80" w:rsidP="00057AF3">
      <w:pPr>
        <w:numPr>
          <w:ilvl w:val="0"/>
          <w:numId w:val="23"/>
        </w:numPr>
        <w:ind w:left="1080"/>
        <w:rPr>
          <w:szCs w:val="20"/>
        </w:rPr>
      </w:pPr>
      <w:r>
        <w:lastRenderedPageBreak/>
        <w:t>Update the Onboarding Checklist to indicate completed tasks.</w:t>
      </w:r>
    </w:p>
    <w:p w14:paraId="78695B16" w14:textId="02ADB5EB" w:rsidR="00F51C80" w:rsidRPr="00F51C80" w:rsidRDefault="00F51C80" w:rsidP="00057AF3">
      <w:pPr>
        <w:numPr>
          <w:ilvl w:val="0"/>
          <w:numId w:val="23"/>
        </w:numPr>
        <w:ind w:left="1080"/>
        <w:rPr>
          <w:szCs w:val="20"/>
        </w:rPr>
      </w:pPr>
      <w:r>
        <w:t xml:space="preserve">Click </w:t>
      </w:r>
      <w:r w:rsidRPr="00F51C80">
        <w:rPr>
          <w:b/>
        </w:rPr>
        <w:t>Save Draft</w:t>
      </w:r>
      <w:r>
        <w:t xml:space="preserve"> to save your updates and complete the Offer at a later time</w:t>
      </w:r>
      <w:r w:rsidR="00237FA3">
        <w:t>, or,</w:t>
      </w:r>
    </w:p>
    <w:p w14:paraId="1CCAE789" w14:textId="27585E31" w:rsidR="00521CBD" w:rsidRDefault="00237FA3" w:rsidP="00C0287B">
      <w:pPr>
        <w:numPr>
          <w:ilvl w:val="0"/>
          <w:numId w:val="23"/>
        </w:numPr>
        <w:spacing w:after="0" w:line="276" w:lineRule="auto"/>
        <w:ind w:left="1080"/>
        <w:rPr>
          <w:szCs w:val="20"/>
        </w:rPr>
      </w:pPr>
      <w:r>
        <w:t>C</w:t>
      </w:r>
      <w:r w:rsidR="00F51C80">
        <w:t xml:space="preserve">lick </w:t>
      </w:r>
      <w:r w:rsidR="00F51C80" w:rsidRPr="00237FA3">
        <w:rPr>
          <w:b/>
        </w:rPr>
        <w:t>Submit</w:t>
      </w:r>
      <w:r w:rsidR="00F51C80">
        <w:t xml:space="preserve"> when your entries are complete. An alert message</w:t>
      </w:r>
      <w:r>
        <w:t xml:space="preserve"> </w:t>
      </w:r>
      <w:r w:rsidR="00F51C80">
        <w:t>displays</w:t>
      </w:r>
      <w:r>
        <w:t xml:space="preserve">: </w:t>
      </w:r>
      <w:r w:rsidRPr="00237FA3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E699"/>
        </w:rPr>
        <w:t xml:space="preserve">You have submitted successfully. </w:t>
      </w:r>
      <w:r w:rsidRPr="00237FA3">
        <w:rPr>
          <w:szCs w:val="20"/>
        </w:rPr>
        <w:t xml:space="preserve">The status bar </w:t>
      </w:r>
      <w:r>
        <w:rPr>
          <w:szCs w:val="20"/>
        </w:rPr>
        <w:t>updates to indicate</w:t>
      </w:r>
      <w:r w:rsidRPr="00237FA3">
        <w:rPr>
          <w:szCs w:val="20"/>
        </w:rPr>
        <w:t xml:space="preserve"> Pending </w:t>
      </w:r>
      <w:r w:rsidR="00CB0C9C">
        <w:rPr>
          <w:szCs w:val="20"/>
        </w:rPr>
        <w:t xml:space="preserve">Supplier Organization </w:t>
      </w:r>
      <w:r w:rsidRPr="00237FA3">
        <w:rPr>
          <w:szCs w:val="20"/>
        </w:rPr>
        <w:t>Approval</w:t>
      </w:r>
      <w:r w:rsidR="00C0287B">
        <w:rPr>
          <w:szCs w:val="20"/>
        </w:rPr>
        <w:t xml:space="preserve"> and a notification goes to the </w:t>
      </w:r>
      <w:r w:rsidR="001D1F21">
        <w:rPr>
          <w:szCs w:val="20"/>
        </w:rPr>
        <w:t>supplier</w:t>
      </w:r>
      <w:r w:rsidR="00CB0C9C">
        <w:rPr>
          <w:szCs w:val="20"/>
        </w:rPr>
        <w:t xml:space="preserve"> organization</w:t>
      </w:r>
      <w:r w:rsidR="00521CBD">
        <w:rPr>
          <w:szCs w:val="20"/>
        </w:rPr>
        <w:t>.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7889"/>
      </w:tblGrid>
      <w:tr w:rsidR="00067EDF" w:rsidRPr="00067EDF" w14:paraId="56F63738" w14:textId="77777777" w:rsidTr="00773F4C">
        <w:tc>
          <w:tcPr>
            <w:tcW w:w="433" w:type="pct"/>
            <w:vAlign w:val="center"/>
          </w:tcPr>
          <w:p w14:paraId="252EB381" w14:textId="77777777" w:rsidR="00067EDF" w:rsidRPr="00067EDF" w:rsidRDefault="00067EDF" w:rsidP="00D965CB">
            <w:pPr>
              <w:spacing w:before="120" w:line="276" w:lineRule="auto"/>
              <w:ind w:left="432"/>
              <w:rPr>
                <w:szCs w:val="20"/>
              </w:rPr>
            </w:pPr>
            <w:r w:rsidRPr="00067EDF">
              <w:rPr>
                <w:noProof/>
                <w:szCs w:val="20"/>
              </w:rPr>
              <w:drawing>
                <wp:inline distT="0" distB="0" distL="0" distR="0" wp14:anchorId="3EB13DFB" wp14:editId="30A38978">
                  <wp:extent cx="338328" cy="347472"/>
                  <wp:effectExtent l="0" t="0" r="508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0BA91A48" w14:textId="77777777" w:rsidR="00067EDF" w:rsidRPr="00067EDF" w:rsidRDefault="00067EDF" w:rsidP="00D965CB">
            <w:pPr>
              <w:spacing w:before="120" w:line="276" w:lineRule="auto"/>
              <w:ind w:left="144"/>
              <w:rPr>
                <w:i/>
                <w:iCs/>
                <w:szCs w:val="20"/>
              </w:rPr>
            </w:pPr>
            <w:r w:rsidRPr="00067EDF">
              <w:rPr>
                <w:i/>
                <w:iCs/>
                <w:szCs w:val="20"/>
              </w:rPr>
              <w:t>If an adjustment is made that increases the budget, the Offer will route back through the customer-side approval process.</w:t>
            </w:r>
          </w:p>
          <w:p w14:paraId="7161FB65" w14:textId="77777777" w:rsidR="00067EDF" w:rsidRPr="00067EDF" w:rsidRDefault="00067EDF" w:rsidP="00D965CB">
            <w:pPr>
              <w:spacing w:before="120" w:line="276" w:lineRule="auto"/>
              <w:ind w:left="144"/>
              <w:rPr>
                <w:i/>
                <w:iCs/>
                <w:szCs w:val="20"/>
              </w:rPr>
            </w:pPr>
            <w:r w:rsidRPr="00067EDF">
              <w:rPr>
                <w:i/>
                <w:iCs/>
                <w:szCs w:val="20"/>
              </w:rPr>
              <w:t>If adjustments are made that do not increase the budget, the Offer will route to the supplier organization.</w:t>
            </w:r>
          </w:p>
        </w:tc>
      </w:tr>
    </w:tbl>
    <w:p w14:paraId="12EB4296" w14:textId="7264BD64" w:rsidR="00F53D20" w:rsidRDefault="00521CBD" w:rsidP="00092DDA">
      <w:pPr>
        <w:numPr>
          <w:ilvl w:val="0"/>
          <w:numId w:val="23"/>
        </w:numPr>
        <w:spacing w:line="360" w:lineRule="auto"/>
        <w:ind w:left="1080"/>
        <w:rPr>
          <w:szCs w:val="20"/>
        </w:rPr>
      </w:pPr>
      <w:r>
        <w:t xml:space="preserve">Use </w:t>
      </w:r>
      <w:r w:rsidRPr="00A507A2">
        <w:t>the Back link (</w:t>
      </w:r>
      <w:r>
        <w:rPr>
          <w:noProof/>
        </w:rPr>
        <w:drawing>
          <wp:inline distT="0" distB="0" distL="0" distR="0" wp14:anchorId="6B75598A" wp14:editId="0FF8F15B">
            <wp:extent cx="438095" cy="190476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09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7A2">
        <w:t xml:space="preserve">) near the top of the screen to exit </w:t>
      </w:r>
      <w:r>
        <w:t>the Edit Assignment</w:t>
      </w:r>
      <w:r w:rsidRPr="00A507A2">
        <w:t xml:space="preserve"> </w:t>
      </w:r>
      <w:r>
        <w:t>screen</w:t>
      </w:r>
      <w:r w:rsidR="00237FA3" w:rsidRPr="00092DDA">
        <w:rPr>
          <w:szCs w:val="20"/>
        </w:rPr>
        <w:t>.</w:t>
      </w:r>
    </w:p>
    <w:p w14:paraId="1DC29C18" w14:textId="7CD8A4A6" w:rsidR="00C0287B" w:rsidRDefault="00C0287B" w:rsidP="00951378">
      <w:pPr>
        <w:spacing w:line="276" w:lineRule="auto"/>
        <w:ind w:left="720"/>
        <w:rPr>
          <w:szCs w:val="20"/>
        </w:rPr>
      </w:pPr>
      <w:r>
        <w:rPr>
          <w:szCs w:val="20"/>
        </w:rPr>
        <w:t>(</w:t>
      </w:r>
      <w:r w:rsidR="00B740D8">
        <w:rPr>
          <w:szCs w:val="20"/>
        </w:rPr>
        <w:t xml:space="preserve">Once the </w:t>
      </w:r>
      <w:r w:rsidR="005827BE">
        <w:rPr>
          <w:szCs w:val="20"/>
        </w:rPr>
        <w:t xml:space="preserve">supplier </w:t>
      </w:r>
      <w:r w:rsidR="00CB0C9C">
        <w:rPr>
          <w:szCs w:val="20"/>
        </w:rPr>
        <w:t>accept</w:t>
      </w:r>
      <w:r w:rsidR="005827BE">
        <w:rPr>
          <w:szCs w:val="20"/>
        </w:rPr>
        <w:t>s the offer</w:t>
      </w:r>
      <w:r w:rsidR="00B740D8">
        <w:rPr>
          <w:szCs w:val="20"/>
        </w:rPr>
        <w:t>, t</w:t>
      </w:r>
      <w:r>
        <w:rPr>
          <w:szCs w:val="20"/>
        </w:rPr>
        <w:t xml:space="preserve">he </w:t>
      </w:r>
      <w:r w:rsidR="00951378">
        <w:rPr>
          <w:szCs w:val="20"/>
        </w:rPr>
        <w:t xml:space="preserve">auto-generated </w:t>
      </w:r>
      <w:r>
        <w:rPr>
          <w:szCs w:val="20"/>
        </w:rPr>
        <w:t xml:space="preserve">assignment record </w:t>
      </w:r>
      <w:r w:rsidR="00951378">
        <w:rPr>
          <w:szCs w:val="20"/>
        </w:rPr>
        <w:t>updates to a status of “Awaiting Start Date”—if the Start Date is a future date. A status of “Effective” [Legacy UI] or “Working” [</w:t>
      </w:r>
      <w:r w:rsidR="00A93425">
        <w:rPr>
          <w:szCs w:val="20"/>
        </w:rPr>
        <w:t>Alternate</w:t>
      </w:r>
      <w:r w:rsidR="00951378">
        <w:rPr>
          <w:szCs w:val="20"/>
        </w:rPr>
        <w:t xml:space="preserve"> UI] indicates an active assignment</w:t>
      </w:r>
      <w:r w:rsidR="00B740D8">
        <w:rPr>
          <w:szCs w:val="20"/>
        </w:rPr>
        <w:t xml:space="preserve"> where the Start Date is in the past</w:t>
      </w:r>
      <w:r>
        <w:rPr>
          <w:szCs w:val="20"/>
        </w:rPr>
        <w:t>.)</w:t>
      </w:r>
    </w:p>
    <w:p w14:paraId="0A04486E" w14:textId="54468D30" w:rsidR="00092DDA" w:rsidRDefault="00092DDA" w:rsidP="00092DDA">
      <w:pPr>
        <w:spacing w:after="0" w:line="360" w:lineRule="auto"/>
        <w:ind w:left="720"/>
        <w:rPr>
          <w:szCs w:val="20"/>
        </w:rPr>
      </w:pPr>
    </w:p>
    <w:p w14:paraId="31A35C41" w14:textId="77777777" w:rsidR="00FB0E10" w:rsidRDefault="00FB0E10" w:rsidP="00FB0E10">
      <w:pPr>
        <w:sectPr w:rsidR="00FB0E10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164910EC" w14:textId="7C1CDA0B" w:rsidR="005B1C0D" w:rsidRDefault="00521CBD" w:rsidP="00531F9B">
      <w:pPr>
        <w:numPr>
          <w:ilvl w:val="0"/>
          <w:numId w:val="1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 xml:space="preserve">Repeat the directions provided above to take </w:t>
      </w:r>
      <w:r w:rsidR="00F33B61">
        <w:rPr>
          <w:szCs w:val="20"/>
        </w:rPr>
        <w:t xml:space="preserve">action on all </w:t>
      </w:r>
      <w:r>
        <w:rPr>
          <w:szCs w:val="20"/>
        </w:rPr>
        <w:t xml:space="preserve">remaining </w:t>
      </w:r>
      <w:r w:rsidR="00CB0C9C">
        <w:rPr>
          <w:szCs w:val="20"/>
        </w:rPr>
        <w:t>O</w:t>
      </w:r>
      <w:r w:rsidR="001F00D6">
        <w:rPr>
          <w:szCs w:val="20"/>
        </w:rPr>
        <w:t xml:space="preserve">ffer to </w:t>
      </w:r>
      <w:r w:rsidR="00CB0C9C">
        <w:rPr>
          <w:szCs w:val="20"/>
        </w:rPr>
        <w:t>E</w:t>
      </w:r>
      <w:r w:rsidR="001F00D6">
        <w:rPr>
          <w:szCs w:val="20"/>
        </w:rPr>
        <w:t>xtend</w:t>
      </w:r>
      <w:r w:rsidR="00CB0C9C">
        <w:rPr>
          <w:szCs w:val="20"/>
        </w:rPr>
        <w:t xml:space="preserve"> requests</w:t>
      </w:r>
      <w:r>
        <w:rPr>
          <w:szCs w:val="20"/>
        </w:rPr>
        <w:t>.</w:t>
      </w:r>
    </w:p>
    <w:sectPr w:rsidR="005B1C0D" w:rsidSect="00BE1EE1">
      <w:type w:val="continuous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543D" w14:textId="77777777" w:rsidR="007B6B05" w:rsidRPr="00242F36" w:rsidRDefault="007B6B05" w:rsidP="00242F36">
      <w:r>
        <w:separator/>
      </w:r>
    </w:p>
  </w:endnote>
  <w:endnote w:type="continuationSeparator" w:id="0">
    <w:p w14:paraId="7BF9AB39" w14:textId="77777777" w:rsidR="007B6B05" w:rsidRPr="00242F36" w:rsidRDefault="007B6B05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0D6682F2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FD2A1E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FD2A1E">
      <w:rPr>
        <w:rFonts w:cs="Arial"/>
        <w:color w:val="8D8D8D"/>
        <w:sz w:val="18"/>
        <w:szCs w:val="18"/>
      </w:rPr>
      <w:t>8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7B6B05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D78E" w14:textId="77777777" w:rsidR="007B6B05" w:rsidRPr="00242F36" w:rsidRDefault="007B6B05" w:rsidP="00242F36">
      <w:r>
        <w:separator/>
      </w:r>
    </w:p>
  </w:footnote>
  <w:footnote w:type="continuationSeparator" w:id="0">
    <w:p w14:paraId="1D93C8DA" w14:textId="77777777" w:rsidR="007B6B05" w:rsidRPr="00242F36" w:rsidRDefault="007B6B05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55326BDC" w:rsidR="004F1E13" w:rsidRDefault="001A0122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52B922F1">
          <wp:extent cx="5544306" cy="642620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2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182B"/>
    <w:multiLevelType w:val="multilevel"/>
    <w:tmpl w:val="C25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0D8B"/>
    <w:multiLevelType w:val="hybridMultilevel"/>
    <w:tmpl w:val="99D29A62"/>
    <w:lvl w:ilvl="0" w:tplc="EF0E9800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30F65"/>
    <w:multiLevelType w:val="hybridMultilevel"/>
    <w:tmpl w:val="B0FE74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D6E69E0"/>
    <w:multiLevelType w:val="hybridMultilevel"/>
    <w:tmpl w:val="279E43F8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2DA"/>
    <w:multiLevelType w:val="hybridMultilevel"/>
    <w:tmpl w:val="BFB067D8"/>
    <w:lvl w:ilvl="0" w:tplc="EF0E9800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CD01837"/>
    <w:multiLevelType w:val="hybridMultilevel"/>
    <w:tmpl w:val="E9F020C6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09A6"/>
    <w:multiLevelType w:val="multilevel"/>
    <w:tmpl w:val="142A0A94"/>
    <w:numStyleLink w:val="ListBullet1"/>
  </w:abstractNum>
  <w:abstractNum w:abstractNumId="18" w15:restartNumberingAfterBreak="0">
    <w:nsid w:val="5ABD4D9F"/>
    <w:multiLevelType w:val="hybridMultilevel"/>
    <w:tmpl w:val="374CDA58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B2E67"/>
    <w:multiLevelType w:val="hybridMultilevel"/>
    <w:tmpl w:val="2F20283C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4"/>
  </w:num>
  <w:num w:numId="5">
    <w:abstractNumId w:val="17"/>
  </w:num>
  <w:num w:numId="6">
    <w:abstractNumId w:val="17"/>
  </w:num>
  <w:num w:numId="7">
    <w:abstractNumId w:val="2"/>
  </w:num>
  <w:num w:numId="8">
    <w:abstractNumId w:val="19"/>
  </w:num>
  <w:num w:numId="9">
    <w:abstractNumId w:val="6"/>
  </w:num>
  <w:num w:numId="10">
    <w:abstractNumId w:val="9"/>
  </w:num>
  <w:num w:numId="11">
    <w:abstractNumId w:val="5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3"/>
  </w:num>
  <w:num w:numId="17">
    <w:abstractNumId w:val="20"/>
  </w:num>
  <w:num w:numId="18">
    <w:abstractNumId w:val="22"/>
  </w:num>
  <w:num w:numId="19">
    <w:abstractNumId w:val="25"/>
  </w:num>
  <w:num w:numId="20">
    <w:abstractNumId w:val="0"/>
  </w:num>
  <w:num w:numId="21">
    <w:abstractNumId w:val="14"/>
  </w:num>
  <w:num w:numId="22">
    <w:abstractNumId w:val="12"/>
  </w:num>
  <w:num w:numId="23">
    <w:abstractNumId w:val="26"/>
  </w:num>
  <w:num w:numId="24">
    <w:abstractNumId w:val="18"/>
  </w:num>
  <w:num w:numId="25">
    <w:abstractNumId w:val="13"/>
  </w:num>
  <w:num w:numId="26">
    <w:abstractNumId w:val="8"/>
  </w:num>
  <w:num w:numId="27">
    <w:abstractNumId w:val="15"/>
  </w:num>
  <w:num w:numId="28">
    <w:abstractNumId w:val="10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4081"/>
    <w:rsid w:val="0000504A"/>
    <w:rsid w:val="000052B3"/>
    <w:rsid w:val="00006F2A"/>
    <w:rsid w:val="0001187E"/>
    <w:rsid w:val="00013DBE"/>
    <w:rsid w:val="00014312"/>
    <w:rsid w:val="0001457F"/>
    <w:rsid w:val="0002079B"/>
    <w:rsid w:val="00022814"/>
    <w:rsid w:val="00022EC3"/>
    <w:rsid w:val="00023D5C"/>
    <w:rsid w:val="000250EA"/>
    <w:rsid w:val="0002703C"/>
    <w:rsid w:val="0003084B"/>
    <w:rsid w:val="000308E9"/>
    <w:rsid w:val="00033A9D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605FB"/>
    <w:rsid w:val="000610ED"/>
    <w:rsid w:val="000634B4"/>
    <w:rsid w:val="000658F5"/>
    <w:rsid w:val="00066B4E"/>
    <w:rsid w:val="00067EDF"/>
    <w:rsid w:val="00073AB5"/>
    <w:rsid w:val="00081B91"/>
    <w:rsid w:val="00082D9F"/>
    <w:rsid w:val="0008528F"/>
    <w:rsid w:val="00087CD7"/>
    <w:rsid w:val="00090AA3"/>
    <w:rsid w:val="00091698"/>
    <w:rsid w:val="00092BAA"/>
    <w:rsid w:val="00092DDA"/>
    <w:rsid w:val="00093F06"/>
    <w:rsid w:val="0009524B"/>
    <w:rsid w:val="00095E5D"/>
    <w:rsid w:val="000A31A2"/>
    <w:rsid w:val="000A5A31"/>
    <w:rsid w:val="000A7727"/>
    <w:rsid w:val="000B4389"/>
    <w:rsid w:val="000B61CC"/>
    <w:rsid w:val="000B7478"/>
    <w:rsid w:val="000C496D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F0976"/>
    <w:rsid w:val="000F462A"/>
    <w:rsid w:val="000F6116"/>
    <w:rsid w:val="001009A2"/>
    <w:rsid w:val="001034C3"/>
    <w:rsid w:val="001059BD"/>
    <w:rsid w:val="00110D94"/>
    <w:rsid w:val="00110ED2"/>
    <w:rsid w:val="001133DA"/>
    <w:rsid w:val="00116731"/>
    <w:rsid w:val="0012369C"/>
    <w:rsid w:val="0012489B"/>
    <w:rsid w:val="00124DB1"/>
    <w:rsid w:val="00124F7D"/>
    <w:rsid w:val="00127845"/>
    <w:rsid w:val="00130AA3"/>
    <w:rsid w:val="0013261B"/>
    <w:rsid w:val="00132810"/>
    <w:rsid w:val="00134FE6"/>
    <w:rsid w:val="00136A66"/>
    <w:rsid w:val="00140A7B"/>
    <w:rsid w:val="00142281"/>
    <w:rsid w:val="00143DED"/>
    <w:rsid w:val="00143F35"/>
    <w:rsid w:val="001451DE"/>
    <w:rsid w:val="001513EA"/>
    <w:rsid w:val="001570CA"/>
    <w:rsid w:val="0016112F"/>
    <w:rsid w:val="001640B6"/>
    <w:rsid w:val="0016410D"/>
    <w:rsid w:val="00164B61"/>
    <w:rsid w:val="0016557A"/>
    <w:rsid w:val="00170062"/>
    <w:rsid w:val="00170BB1"/>
    <w:rsid w:val="00174675"/>
    <w:rsid w:val="00175BF4"/>
    <w:rsid w:val="00176CC5"/>
    <w:rsid w:val="00181B38"/>
    <w:rsid w:val="00182826"/>
    <w:rsid w:val="00185316"/>
    <w:rsid w:val="00186120"/>
    <w:rsid w:val="001861F6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64AD"/>
    <w:rsid w:val="001B6F4F"/>
    <w:rsid w:val="001B7ADF"/>
    <w:rsid w:val="001B7DF2"/>
    <w:rsid w:val="001C3B49"/>
    <w:rsid w:val="001D1F21"/>
    <w:rsid w:val="001D3D7C"/>
    <w:rsid w:val="001D4466"/>
    <w:rsid w:val="001D5C4C"/>
    <w:rsid w:val="001E1315"/>
    <w:rsid w:val="001E2169"/>
    <w:rsid w:val="001E4372"/>
    <w:rsid w:val="001E4C84"/>
    <w:rsid w:val="001F00D6"/>
    <w:rsid w:val="00200B9F"/>
    <w:rsid w:val="00203192"/>
    <w:rsid w:val="00212E3E"/>
    <w:rsid w:val="002134CE"/>
    <w:rsid w:val="002160F5"/>
    <w:rsid w:val="00216826"/>
    <w:rsid w:val="002236CF"/>
    <w:rsid w:val="00227EC3"/>
    <w:rsid w:val="00234A47"/>
    <w:rsid w:val="0023500B"/>
    <w:rsid w:val="0023547D"/>
    <w:rsid w:val="002363DD"/>
    <w:rsid w:val="00236DA3"/>
    <w:rsid w:val="00237B5C"/>
    <w:rsid w:val="00237FA3"/>
    <w:rsid w:val="00241ABE"/>
    <w:rsid w:val="00242F36"/>
    <w:rsid w:val="00243A6E"/>
    <w:rsid w:val="002460D9"/>
    <w:rsid w:val="00246AD2"/>
    <w:rsid w:val="00246B2F"/>
    <w:rsid w:val="00252713"/>
    <w:rsid w:val="00263E2C"/>
    <w:rsid w:val="00270D6F"/>
    <w:rsid w:val="002723FA"/>
    <w:rsid w:val="0027627D"/>
    <w:rsid w:val="00281A78"/>
    <w:rsid w:val="00291615"/>
    <w:rsid w:val="002952FD"/>
    <w:rsid w:val="00295BF6"/>
    <w:rsid w:val="0029641D"/>
    <w:rsid w:val="002A0FD3"/>
    <w:rsid w:val="002A2ECD"/>
    <w:rsid w:val="002A4D42"/>
    <w:rsid w:val="002A4F7B"/>
    <w:rsid w:val="002A58DF"/>
    <w:rsid w:val="002B2292"/>
    <w:rsid w:val="002C1D95"/>
    <w:rsid w:val="002C2595"/>
    <w:rsid w:val="002C2BEC"/>
    <w:rsid w:val="002C4771"/>
    <w:rsid w:val="002C748F"/>
    <w:rsid w:val="002C7D67"/>
    <w:rsid w:val="002D1B82"/>
    <w:rsid w:val="002D3A11"/>
    <w:rsid w:val="002D6E8A"/>
    <w:rsid w:val="002E076F"/>
    <w:rsid w:val="002E0C53"/>
    <w:rsid w:val="002E14E6"/>
    <w:rsid w:val="002E1D88"/>
    <w:rsid w:val="002E3CA0"/>
    <w:rsid w:val="002E4D20"/>
    <w:rsid w:val="002E7EDD"/>
    <w:rsid w:val="002F189D"/>
    <w:rsid w:val="002F5D92"/>
    <w:rsid w:val="002F5FE9"/>
    <w:rsid w:val="00302CA0"/>
    <w:rsid w:val="0030501D"/>
    <w:rsid w:val="003055A8"/>
    <w:rsid w:val="003058C2"/>
    <w:rsid w:val="00305BF8"/>
    <w:rsid w:val="00307DEB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3096B"/>
    <w:rsid w:val="00331346"/>
    <w:rsid w:val="00333F9B"/>
    <w:rsid w:val="00335614"/>
    <w:rsid w:val="00335B15"/>
    <w:rsid w:val="00336A7B"/>
    <w:rsid w:val="00336B9F"/>
    <w:rsid w:val="00340C5B"/>
    <w:rsid w:val="00344558"/>
    <w:rsid w:val="003471C6"/>
    <w:rsid w:val="00353144"/>
    <w:rsid w:val="003554E5"/>
    <w:rsid w:val="00355D6F"/>
    <w:rsid w:val="00355EB1"/>
    <w:rsid w:val="003628D1"/>
    <w:rsid w:val="00364207"/>
    <w:rsid w:val="00367A6F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970"/>
    <w:rsid w:val="00384B57"/>
    <w:rsid w:val="00386DDD"/>
    <w:rsid w:val="003870E6"/>
    <w:rsid w:val="00387D69"/>
    <w:rsid w:val="00392085"/>
    <w:rsid w:val="003957C8"/>
    <w:rsid w:val="003A13A2"/>
    <w:rsid w:val="003A453E"/>
    <w:rsid w:val="003A4CA1"/>
    <w:rsid w:val="003A6AD2"/>
    <w:rsid w:val="003B0684"/>
    <w:rsid w:val="003B0DBC"/>
    <w:rsid w:val="003C0A2F"/>
    <w:rsid w:val="003C0AC8"/>
    <w:rsid w:val="003C648F"/>
    <w:rsid w:val="003D1113"/>
    <w:rsid w:val="003D129F"/>
    <w:rsid w:val="003D3759"/>
    <w:rsid w:val="003D5358"/>
    <w:rsid w:val="003E1DA5"/>
    <w:rsid w:val="003E4021"/>
    <w:rsid w:val="003E5383"/>
    <w:rsid w:val="003E68F0"/>
    <w:rsid w:val="003F121C"/>
    <w:rsid w:val="003F5038"/>
    <w:rsid w:val="00401B1F"/>
    <w:rsid w:val="00401EA5"/>
    <w:rsid w:val="0040277B"/>
    <w:rsid w:val="0040293B"/>
    <w:rsid w:val="0040482E"/>
    <w:rsid w:val="00406A7D"/>
    <w:rsid w:val="00411359"/>
    <w:rsid w:val="00412A2B"/>
    <w:rsid w:val="0041567E"/>
    <w:rsid w:val="004161EB"/>
    <w:rsid w:val="00417254"/>
    <w:rsid w:val="00423677"/>
    <w:rsid w:val="00425F1F"/>
    <w:rsid w:val="004304E5"/>
    <w:rsid w:val="00437541"/>
    <w:rsid w:val="0044099A"/>
    <w:rsid w:val="00441B3F"/>
    <w:rsid w:val="00443608"/>
    <w:rsid w:val="0044396A"/>
    <w:rsid w:val="00444F9C"/>
    <w:rsid w:val="0044573B"/>
    <w:rsid w:val="00446323"/>
    <w:rsid w:val="00446FED"/>
    <w:rsid w:val="00447593"/>
    <w:rsid w:val="004507F4"/>
    <w:rsid w:val="00451618"/>
    <w:rsid w:val="004523CD"/>
    <w:rsid w:val="00453D62"/>
    <w:rsid w:val="0045416A"/>
    <w:rsid w:val="00454B16"/>
    <w:rsid w:val="004553FD"/>
    <w:rsid w:val="0045704A"/>
    <w:rsid w:val="0045705A"/>
    <w:rsid w:val="004600DF"/>
    <w:rsid w:val="00460633"/>
    <w:rsid w:val="00460E00"/>
    <w:rsid w:val="004655FA"/>
    <w:rsid w:val="00474176"/>
    <w:rsid w:val="004750E0"/>
    <w:rsid w:val="00475B1C"/>
    <w:rsid w:val="00480609"/>
    <w:rsid w:val="00480E49"/>
    <w:rsid w:val="00482375"/>
    <w:rsid w:val="0048614A"/>
    <w:rsid w:val="00491AF2"/>
    <w:rsid w:val="00492866"/>
    <w:rsid w:val="00493679"/>
    <w:rsid w:val="0049574B"/>
    <w:rsid w:val="004962F2"/>
    <w:rsid w:val="004963ED"/>
    <w:rsid w:val="004976ED"/>
    <w:rsid w:val="00497F9F"/>
    <w:rsid w:val="004A0185"/>
    <w:rsid w:val="004A2E20"/>
    <w:rsid w:val="004A31FE"/>
    <w:rsid w:val="004A7671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76E6"/>
    <w:rsid w:val="004D14B2"/>
    <w:rsid w:val="004D36E6"/>
    <w:rsid w:val="004E7E10"/>
    <w:rsid w:val="004F17E9"/>
    <w:rsid w:val="004F1E13"/>
    <w:rsid w:val="004F2174"/>
    <w:rsid w:val="004F21EB"/>
    <w:rsid w:val="0050148C"/>
    <w:rsid w:val="00505929"/>
    <w:rsid w:val="00506656"/>
    <w:rsid w:val="0051142E"/>
    <w:rsid w:val="00515489"/>
    <w:rsid w:val="00517237"/>
    <w:rsid w:val="005173A5"/>
    <w:rsid w:val="00520DEE"/>
    <w:rsid w:val="00521CBD"/>
    <w:rsid w:val="0052788B"/>
    <w:rsid w:val="00530F4B"/>
    <w:rsid w:val="00531F9B"/>
    <w:rsid w:val="005354FC"/>
    <w:rsid w:val="0054121B"/>
    <w:rsid w:val="00544CC2"/>
    <w:rsid w:val="00546839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46D9"/>
    <w:rsid w:val="00577592"/>
    <w:rsid w:val="005827BE"/>
    <w:rsid w:val="0058317F"/>
    <w:rsid w:val="00585C5A"/>
    <w:rsid w:val="00585DD6"/>
    <w:rsid w:val="0058645F"/>
    <w:rsid w:val="00586514"/>
    <w:rsid w:val="00590739"/>
    <w:rsid w:val="00597348"/>
    <w:rsid w:val="005A0950"/>
    <w:rsid w:val="005A141D"/>
    <w:rsid w:val="005A270C"/>
    <w:rsid w:val="005B1C0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E1431"/>
    <w:rsid w:val="005E1E73"/>
    <w:rsid w:val="005E53A6"/>
    <w:rsid w:val="005E574A"/>
    <w:rsid w:val="005E5FCE"/>
    <w:rsid w:val="005E65EC"/>
    <w:rsid w:val="005E79A0"/>
    <w:rsid w:val="005F001E"/>
    <w:rsid w:val="005F1CD0"/>
    <w:rsid w:val="005F3829"/>
    <w:rsid w:val="005F3DFB"/>
    <w:rsid w:val="005F3E9A"/>
    <w:rsid w:val="005F498B"/>
    <w:rsid w:val="0060015C"/>
    <w:rsid w:val="0060062F"/>
    <w:rsid w:val="00605AFC"/>
    <w:rsid w:val="006103C3"/>
    <w:rsid w:val="006147F8"/>
    <w:rsid w:val="0062073C"/>
    <w:rsid w:val="00620880"/>
    <w:rsid w:val="00622CC1"/>
    <w:rsid w:val="00624ADE"/>
    <w:rsid w:val="0062614F"/>
    <w:rsid w:val="006273B5"/>
    <w:rsid w:val="00632FB2"/>
    <w:rsid w:val="00635ED0"/>
    <w:rsid w:val="0064682F"/>
    <w:rsid w:val="00647000"/>
    <w:rsid w:val="00650B30"/>
    <w:rsid w:val="006533CA"/>
    <w:rsid w:val="00653C81"/>
    <w:rsid w:val="00657806"/>
    <w:rsid w:val="00661088"/>
    <w:rsid w:val="00670EF8"/>
    <w:rsid w:val="006730B3"/>
    <w:rsid w:val="00673D5E"/>
    <w:rsid w:val="0067414C"/>
    <w:rsid w:val="0068068B"/>
    <w:rsid w:val="00683B01"/>
    <w:rsid w:val="00685860"/>
    <w:rsid w:val="00687D38"/>
    <w:rsid w:val="006923CC"/>
    <w:rsid w:val="006971D8"/>
    <w:rsid w:val="006A0CE5"/>
    <w:rsid w:val="006A0E2E"/>
    <w:rsid w:val="006A1B78"/>
    <w:rsid w:val="006A209B"/>
    <w:rsid w:val="006A46AF"/>
    <w:rsid w:val="006A5112"/>
    <w:rsid w:val="006A6299"/>
    <w:rsid w:val="006A63BE"/>
    <w:rsid w:val="006A6F44"/>
    <w:rsid w:val="006A7B5C"/>
    <w:rsid w:val="006B011E"/>
    <w:rsid w:val="006B4DCC"/>
    <w:rsid w:val="006C58B6"/>
    <w:rsid w:val="006D3AA0"/>
    <w:rsid w:val="006D3F64"/>
    <w:rsid w:val="006D5935"/>
    <w:rsid w:val="006D59DC"/>
    <w:rsid w:val="006D7B2E"/>
    <w:rsid w:val="006E08AC"/>
    <w:rsid w:val="006E217C"/>
    <w:rsid w:val="006E45DF"/>
    <w:rsid w:val="006E685D"/>
    <w:rsid w:val="006E6F04"/>
    <w:rsid w:val="006F1D43"/>
    <w:rsid w:val="006F250D"/>
    <w:rsid w:val="006F31EF"/>
    <w:rsid w:val="006F3F0D"/>
    <w:rsid w:val="006F3FE4"/>
    <w:rsid w:val="006F6D28"/>
    <w:rsid w:val="006F7EAA"/>
    <w:rsid w:val="00701CD4"/>
    <w:rsid w:val="00701DE4"/>
    <w:rsid w:val="0070439E"/>
    <w:rsid w:val="007043DD"/>
    <w:rsid w:val="007066E3"/>
    <w:rsid w:val="007074BE"/>
    <w:rsid w:val="00707638"/>
    <w:rsid w:val="00712BDC"/>
    <w:rsid w:val="00716B2B"/>
    <w:rsid w:val="00720098"/>
    <w:rsid w:val="007212C7"/>
    <w:rsid w:val="007215CC"/>
    <w:rsid w:val="0072257B"/>
    <w:rsid w:val="00722937"/>
    <w:rsid w:val="00723962"/>
    <w:rsid w:val="007252CE"/>
    <w:rsid w:val="007268CD"/>
    <w:rsid w:val="00726D4E"/>
    <w:rsid w:val="00733860"/>
    <w:rsid w:val="00737C48"/>
    <w:rsid w:val="00740988"/>
    <w:rsid w:val="00742AD0"/>
    <w:rsid w:val="007470EA"/>
    <w:rsid w:val="007508DC"/>
    <w:rsid w:val="00754C4C"/>
    <w:rsid w:val="00755AA0"/>
    <w:rsid w:val="00761DBF"/>
    <w:rsid w:val="00762938"/>
    <w:rsid w:val="00766AF1"/>
    <w:rsid w:val="007744B5"/>
    <w:rsid w:val="0077653A"/>
    <w:rsid w:val="007839D5"/>
    <w:rsid w:val="007844C2"/>
    <w:rsid w:val="00785C5C"/>
    <w:rsid w:val="00797F57"/>
    <w:rsid w:val="007A2EEE"/>
    <w:rsid w:val="007A50A1"/>
    <w:rsid w:val="007A6A85"/>
    <w:rsid w:val="007B029B"/>
    <w:rsid w:val="007B1DF8"/>
    <w:rsid w:val="007B2DE7"/>
    <w:rsid w:val="007B51D9"/>
    <w:rsid w:val="007B6B05"/>
    <w:rsid w:val="007B6F21"/>
    <w:rsid w:val="007B720A"/>
    <w:rsid w:val="007C2092"/>
    <w:rsid w:val="007D0737"/>
    <w:rsid w:val="007D10AA"/>
    <w:rsid w:val="007D38E0"/>
    <w:rsid w:val="007D4E20"/>
    <w:rsid w:val="007D5AB6"/>
    <w:rsid w:val="007E04D5"/>
    <w:rsid w:val="007E35CD"/>
    <w:rsid w:val="007E4F2C"/>
    <w:rsid w:val="007E7BF7"/>
    <w:rsid w:val="007F0793"/>
    <w:rsid w:val="007F65B4"/>
    <w:rsid w:val="00800B87"/>
    <w:rsid w:val="00800C32"/>
    <w:rsid w:val="00803D56"/>
    <w:rsid w:val="00811F30"/>
    <w:rsid w:val="0081486B"/>
    <w:rsid w:val="00815BD2"/>
    <w:rsid w:val="00817ED5"/>
    <w:rsid w:val="00817F48"/>
    <w:rsid w:val="00821BAF"/>
    <w:rsid w:val="008235C4"/>
    <w:rsid w:val="008235F2"/>
    <w:rsid w:val="008257DC"/>
    <w:rsid w:val="00825F38"/>
    <w:rsid w:val="00827B84"/>
    <w:rsid w:val="008309DE"/>
    <w:rsid w:val="00831633"/>
    <w:rsid w:val="00834946"/>
    <w:rsid w:val="008355DE"/>
    <w:rsid w:val="00835ABA"/>
    <w:rsid w:val="00836761"/>
    <w:rsid w:val="00837B33"/>
    <w:rsid w:val="0084049D"/>
    <w:rsid w:val="008420F5"/>
    <w:rsid w:val="0084313C"/>
    <w:rsid w:val="00843A62"/>
    <w:rsid w:val="00843DBD"/>
    <w:rsid w:val="00845CFD"/>
    <w:rsid w:val="00845D95"/>
    <w:rsid w:val="00847200"/>
    <w:rsid w:val="00850212"/>
    <w:rsid w:val="00850D8D"/>
    <w:rsid w:val="00853B36"/>
    <w:rsid w:val="0085685B"/>
    <w:rsid w:val="00857602"/>
    <w:rsid w:val="008803FC"/>
    <w:rsid w:val="00882820"/>
    <w:rsid w:val="008829D2"/>
    <w:rsid w:val="00885952"/>
    <w:rsid w:val="008873F4"/>
    <w:rsid w:val="00893553"/>
    <w:rsid w:val="008A27D9"/>
    <w:rsid w:val="008A3050"/>
    <w:rsid w:val="008A390C"/>
    <w:rsid w:val="008A479F"/>
    <w:rsid w:val="008B6947"/>
    <w:rsid w:val="008C0466"/>
    <w:rsid w:val="008C0894"/>
    <w:rsid w:val="008C45EA"/>
    <w:rsid w:val="008C695E"/>
    <w:rsid w:val="008C7B7F"/>
    <w:rsid w:val="008D06E6"/>
    <w:rsid w:val="008D1AC1"/>
    <w:rsid w:val="008D2E1B"/>
    <w:rsid w:val="008D3728"/>
    <w:rsid w:val="008D37AD"/>
    <w:rsid w:val="008D4E78"/>
    <w:rsid w:val="008D72A3"/>
    <w:rsid w:val="008E20BC"/>
    <w:rsid w:val="008E261F"/>
    <w:rsid w:val="008E3654"/>
    <w:rsid w:val="008E7204"/>
    <w:rsid w:val="008F4A29"/>
    <w:rsid w:val="008F6997"/>
    <w:rsid w:val="00900FB4"/>
    <w:rsid w:val="00902AF1"/>
    <w:rsid w:val="00903C9F"/>
    <w:rsid w:val="00903FD0"/>
    <w:rsid w:val="00904402"/>
    <w:rsid w:val="009049E5"/>
    <w:rsid w:val="009101E9"/>
    <w:rsid w:val="00911F40"/>
    <w:rsid w:val="00915287"/>
    <w:rsid w:val="009178CE"/>
    <w:rsid w:val="009233FE"/>
    <w:rsid w:val="00927145"/>
    <w:rsid w:val="00927C56"/>
    <w:rsid w:val="00932ECB"/>
    <w:rsid w:val="00933409"/>
    <w:rsid w:val="00933E44"/>
    <w:rsid w:val="0093444B"/>
    <w:rsid w:val="00934CD6"/>
    <w:rsid w:val="00936C31"/>
    <w:rsid w:val="0094146B"/>
    <w:rsid w:val="00942663"/>
    <w:rsid w:val="009433BB"/>
    <w:rsid w:val="00945396"/>
    <w:rsid w:val="00947D1A"/>
    <w:rsid w:val="00951378"/>
    <w:rsid w:val="00955603"/>
    <w:rsid w:val="00964D91"/>
    <w:rsid w:val="00965F1B"/>
    <w:rsid w:val="00967245"/>
    <w:rsid w:val="00967DB2"/>
    <w:rsid w:val="009734FE"/>
    <w:rsid w:val="00977D9F"/>
    <w:rsid w:val="009807F0"/>
    <w:rsid w:val="009818DB"/>
    <w:rsid w:val="00982F15"/>
    <w:rsid w:val="00983CFD"/>
    <w:rsid w:val="00983D2C"/>
    <w:rsid w:val="009841B0"/>
    <w:rsid w:val="009845D5"/>
    <w:rsid w:val="00990A52"/>
    <w:rsid w:val="00991A21"/>
    <w:rsid w:val="00993157"/>
    <w:rsid w:val="00995181"/>
    <w:rsid w:val="0099533D"/>
    <w:rsid w:val="00996D91"/>
    <w:rsid w:val="00996FC7"/>
    <w:rsid w:val="009A26A3"/>
    <w:rsid w:val="009A2AC1"/>
    <w:rsid w:val="009A73E9"/>
    <w:rsid w:val="009B07B3"/>
    <w:rsid w:val="009B2302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D71BF"/>
    <w:rsid w:val="009E0B6E"/>
    <w:rsid w:val="009E5B09"/>
    <w:rsid w:val="009E620D"/>
    <w:rsid w:val="009E66E9"/>
    <w:rsid w:val="009E6729"/>
    <w:rsid w:val="009F0049"/>
    <w:rsid w:val="009F009F"/>
    <w:rsid w:val="009F057D"/>
    <w:rsid w:val="009F1C67"/>
    <w:rsid w:val="009F4616"/>
    <w:rsid w:val="009F56A0"/>
    <w:rsid w:val="009F58C1"/>
    <w:rsid w:val="009F6E36"/>
    <w:rsid w:val="00A001B3"/>
    <w:rsid w:val="00A00B3A"/>
    <w:rsid w:val="00A03B8D"/>
    <w:rsid w:val="00A0538F"/>
    <w:rsid w:val="00A0555B"/>
    <w:rsid w:val="00A06282"/>
    <w:rsid w:val="00A15133"/>
    <w:rsid w:val="00A17A9D"/>
    <w:rsid w:val="00A23D0D"/>
    <w:rsid w:val="00A304A5"/>
    <w:rsid w:val="00A308CC"/>
    <w:rsid w:val="00A34907"/>
    <w:rsid w:val="00A41970"/>
    <w:rsid w:val="00A4200F"/>
    <w:rsid w:val="00A42609"/>
    <w:rsid w:val="00A42A8F"/>
    <w:rsid w:val="00A42F5C"/>
    <w:rsid w:val="00A507A2"/>
    <w:rsid w:val="00A52A2F"/>
    <w:rsid w:val="00A54601"/>
    <w:rsid w:val="00A54B90"/>
    <w:rsid w:val="00A57E4E"/>
    <w:rsid w:val="00A6234C"/>
    <w:rsid w:val="00A647EE"/>
    <w:rsid w:val="00A64AEB"/>
    <w:rsid w:val="00A6652C"/>
    <w:rsid w:val="00A70015"/>
    <w:rsid w:val="00A703C6"/>
    <w:rsid w:val="00A746A2"/>
    <w:rsid w:val="00A746F8"/>
    <w:rsid w:val="00A7527C"/>
    <w:rsid w:val="00A77641"/>
    <w:rsid w:val="00A80F4D"/>
    <w:rsid w:val="00A810E8"/>
    <w:rsid w:val="00A834BE"/>
    <w:rsid w:val="00A868DF"/>
    <w:rsid w:val="00A9279E"/>
    <w:rsid w:val="00A93425"/>
    <w:rsid w:val="00A93C32"/>
    <w:rsid w:val="00A97768"/>
    <w:rsid w:val="00AA195B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3225"/>
    <w:rsid w:val="00AB4E76"/>
    <w:rsid w:val="00AB55F3"/>
    <w:rsid w:val="00AB7953"/>
    <w:rsid w:val="00AC0695"/>
    <w:rsid w:val="00AC1642"/>
    <w:rsid w:val="00AC20C9"/>
    <w:rsid w:val="00AC2B99"/>
    <w:rsid w:val="00AC2F19"/>
    <w:rsid w:val="00AC4334"/>
    <w:rsid w:val="00AD1E32"/>
    <w:rsid w:val="00AD27E0"/>
    <w:rsid w:val="00AD56BC"/>
    <w:rsid w:val="00AD7001"/>
    <w:rsid w:val="00AD7E0D"/>
    <w:rsid w:val="00AE5D68"/>
    <w:rsid w:val="00AF02F0"/>
    <w:rsid w:val="00AF03C3"/>
    <w:rsid w:val="00AF1679"/>
    <w:rsid w:val="00AF48B5"/>
    <w:rsid w:val="00AF5F49"/>
    <w:rsid w:val="00AF5FCB"/>
    <w:rsid w:val="00AF6B3D"/>
    <w:rsid w:val="00AF6FE2"/>
    <w:rsid w:val="00B015A1"/>
    <w:rsid w:val="00B02199"/>
    <w:rsid w:val="00B0230A"/>
    <w:rsid w:val="00B02B89"/>
    <w:rsid w:val="00B04A45"/>
    <w:rsid w:val="00B0728D"/>
    <w:rsid w:val="00B12A0F"/>
    <w:rsid w:val="00B15965"/>
    <w:rsid w:val="00B17027"/>
    <w:rsid w:val="00B20D86"/>
    <w:rsid w:val="00B213F4"/>
    <w:rsid w:val="00B22870"/>
    <w:rsid w:val="00B252C9"/>
    <w:rsid w:val="00B3135F"/>
    <w:rsid w:val="00B31B61"/>
    <w:rsid w:val="00B32C5D"/>
    <w:rsid w:val="00B33FFE"/>
    <w:rsid w:val="00B36395"/>
    <w:rsid w:val="00B41AA0"/>
    <w:rsid w:val="00B464F2"/>
    <w:rsid w:val="00B519C0"/>
    <w:rsid w:val="00B52800"/>
    <w:rsid w:val="00B547F9"/>
    <w:rsid w:val="00B566BB"/>
    <w:rsid w:val="00B606E1"/>
    <w:rsid w:val="00B64235"/>
    <w:rsid w:val="00B64BB1"/>
    <w:rsid w:val="00B708FD"/>
    <w:rsid w:val="00B7097D"/>
    <w:rsid w:val="00B722C9"/>
    <w:rsid w:val="00B72721"/>
    <w:rsid w:val="00B7301C"/>
    <w:rsid w:val="00B740D8"/>
    <w:rsid w:val="00B77D88"/>
    <w:rsid w:val="00B82B3D"/>
    <w:rsid w:val="00B86EB9"/>
    <w:rsid w:val="00B87ECE"/>
    <w:rsid w:val="00B94536"/>
    <w:rsid w:val="00B946A8"/>
    <w:rsid w:val="00B95D7E"/>
    <w:rsid w:val="00B97B8B"/>
    <w:rsid w:val="00BA1825"/>
    <w:rsid w:val="00BA2DFC"/>
    <w:rsid w:val="00BA7F73"/>
    <w:rsid w:val="00BB066B"/>
    <w:rsid w:val="00BB2A98"/>
    <w:rsid w:val="00BB47BD"/>
    <w:rsid w:val="00BB61A6"/>
    <w:rsid w:val="00BB7B64"/>
    <w:rsid w:val="00BC0DD0"/>
    <w:rsid w:val="00BC18E8"/>
    <w:rsid w:val="00BC2996"/>
    <w:rsid w:val="00BC3D04"/>
    <w:rsid w:val="00BC77EB"/>
    <w:rsid w:val="00BC77F3"/>
    <w:rsid w:val="00BD271B"/>
    <w:rsid w:val="00BD31C8"/>
    <w:rsid w:val="00BD3D1E"/>
    <w:rsid w:val="00BD5D96"/>
    <w:rsid w:val="00BD5F05"/>
    <w:rsid w:val="00BD7718"/>
    <w:rsid w:val="00BE1EE1"/>
    <w:rsid w:val="00BE23ED"/>
    <w:rsid w:val="00BF1B54"/>
    <w:rsid w:val="00BF5725"/>
    <w:rsid w:val="00C0129A"/>
    <w:rsid w:val="00C01330"/>
    <w:rsid w:val="00C0207C"/>
    <w:rsid w:val="00C02106"/>
    <w:rsid w:val="00C0287B"/>
    <w:rsid w:val="00C03FA6"/>
    <w:rsid w:val="00C04E06"/>
    <w:rsid w:val="00C051C4"/>
    <w:rsid w:val="00C053FD"/>
    <w:rsid w:val="00C07929"/>
    <w:rsid w:val="00C1075B"/>
    <w:rsid w:val="00C10E9C"/>
    <w:rsid w:val="00C1197D"/>
    <w:rsid w:val="00C15073"/>
    <w:rsid w:val="00C20510"/>
    <w:rsid w:val="00C20C36"/>
    <w:rsid w:val="00C250FB"/>
    <w:rsid w:val="00C26600"/>
    <w:rsid w:val="00C32F7F"/>
    <w:rsid w:val="00C33CAE"/>
    <w:rsid w:val="00C33D2B"/>
    <w:rsid w:val="00C34049"/>
    <w:rsid w:val="00C3500B"/>
    <w:rsid w:val="00C423CB"/>
    <w:rsid w:val="00C42A0E"/>
    <w:rsid w:val="00C43384"/>
    <w:rsid w:val="00C436BB"/>
    <w:rsid w:val="00C4407D"/>
    <w:rsid w:val="00C4645C"/>
    <w:rsid w:val="00C5030D"/>
    <w:rsid w:val="00C5043E"/>
    <w:rsid w:val="00C618BE"/>
    <w:rsid w:val="00C61C68"/>
    <w:rsid w:val="00C62826"/>
    <w:rsid w:val="00C63AE0"/>
    <w:rsid w:val="00C65A47"/>
    <w:rsid w:val="00C6771F"/>
    <w:rsid w:val="00C71366"/>
    <w:rsid w:val="00C7221F"/>
    <w:rsid w:val="00C73CD1"/>
    <w:rsid w:val="00C77B8E"/>
    <w:rsid w:val="00C810D0"/>
    <w:rsid w:val="00C84D54"/>
    <w:rsid w:val="00C86B6D"/>
    <w:rsid w:val="00C97649"/>
    <w:rsid w:val="00CA0697"/>
    <w:rsid w:val="00CB0C9C"/>
    <w:rsid w:val="00CB3E64"/>
    <w:rsid w:val="00CB6180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E0800"/>
    <w:rsid w:val="00CE373A"/>
    <w:rsid w:val="00CE5B5C"/>
    <w:rsid w:val="00CE644E"/>
    <w:rsid w:val="00CF18D5"/>
    <w:rsid w:val="00CF1DA0"/>
    <w:rsid w:val="00CF4050"/>
    <w:rsid w:val="00CF7CC5"/>
    <w:rsid w:val="00CF7EC1"/>
    <w:rsid w:val="00D000E7"/>
    <w:rsid w:val="00D0679E"/>
    <w:rsid w:val="00D109E0"/>
    <w:rsid w:val="00D11A85"/>
    <w:rsid w:val="00D12A3E"/>
    <w:rsid w:val="00D144F8"/>
    <w:rsid w:val="00D17675"/>
    <w:rsid w:val="00D2139E"/>
    <w:rsid w:val="00D21A3C"/>
    <w:rsid w:val="00D22484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626CD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964AC"/>
    <w:rsid w:val="00D965CB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31B8"/>
    <w:rsid w:val="00DF7D44"/>
    <w:rsid w:val="00DF7F09"/>
    <w:rsid w:val="00E007F3"/>
    <w:rsid w:val="00E03391"/>
    <w:rsid w:val="00E053F7"/>
    <w:rsid w:val="00E07CE4"/>
    <w:rsid w:val="00E106CD"/>
    <w:rsid w:val="00E12451"/>
    <w:rsid w:val="00E13E0E"/>
    <w:rsid w:val="00E157F0"/>
    <w:rsid w:val="00E163D3"/>
    <w:rsid w:val="00E22131"/>
    <w:rsid w:val="00E25496"/>
    <w:rsid w:val="00E2554B"/>
    <w:rsid w:val="00E3195C"/>
    <w:rsid w:val="00E32ABF"/>
    <w:rsid w:val="00E35250"/>
    <w:rsid w:val="00E357C3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EC0"/>
    <w:rsid w:val="00E923C4"/>
    <w:rsid w:val="00E93276"/>
    <w:rsid w:val="00E9487C"/>
    <w:rsid w:val="00EA027E"/>
    <w:rsid w:val="00EA660B"/>
    <w:rsid w:val="00EA6995"/>
    <w:rsid w:val="00EB0D2F"/>
    <w:rsid w:val="00EB4D99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89F"/>
    <w:rsid w:val="00EC7388"/>
    <w:rsid w:val="00ED00BE"/>
    <w:rsid w:val="00ED26B3"/>
    <w:rsid w:val="00ED34F7"/>
    <w:rsid w:val="00ED43D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3EA6"/>
    <w:rsid w:val="00F14D84"/>
    <w:rsid w:val="00F16167"/>
    <w:rsid w:val="00F16E61"/>
    <w:rsid w:val="00F20E5D"/>
    <w:rsid w:val="00F233DF"/>
    <w:rsid w:val="00F31712"/>
    <w:rsid w:val="00F3246F"/>
    <w:rsid w:val="00F32C3A"/>
    <w:rsid w:val="00F33B61"/>
    <w:rsid w:val="00F416DB"/>
    <w:rsid w:val="00F45ED9"/>
    <w:rsid w:val="00F47A24"/>
    <w:rsid w:val="00F51C80"/>
    <w:rsid w:val="00F53710"/>
    <w:rsid w:val="00F53D20"/>
    <w:rsid w:val="00F55335"/>
    <w:rsid w:val="00F55D34"/>
    <w:rsid w:val="00F56909"/>
    <w:rsid w:val="00F60B59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113C"/>
    <w:rsid w:val="00FA246E"/>
    <w:rsid w:val="00FA34FF"/>
    <w:rsid w:val="00FA5D8C"/>
    <w:rsid w:val="00FB090E"/>
    <w:rsid w:val="00FB0E10"/>
    <w:rsid w:val="00FB1CB0"/>
    <w:rsid w:val="00FB591D"/>
    <w:rsid w:val="00FB76CB"/>
    <w:rsid w:val="00FB7AE5"/>
    <w:rsid w:val="00FC412E"/>
    <w:rsid w:val="00FC5C1F"/>
    <w:rsid w:val="00FC6C28"/>
    <w:rsid w:val="00FC713A"/>
    <w:rsid w:val="00FD09F5"/>
    <w:rsid w:val="00FD2A1E"/>
    <w:rsid w:val="00FD320D"/>
    <w:rsid w:val="00FD42AB"/>
    <w:rsid w:val="00FD74F6"/>
    <w:rsid w:val="00FD7AA7"/>
    <w:rsid w:val="00FE271F"/>
    <w:rsid w:val="00FE48FB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0BC"/>
    <w:pPr>
      <w:keepNext/>
      <w:shd w:val="clear" w:color="auto" w:fill="003A63"/>
      <w:spacing w:before="1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0BC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3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78464-3CC1-4941-8DCD-6A0176D5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PMO: Submit Offer</dc:title>
  <dc:creator>TPrice</dc:creator>
  <cp:keywords>PMO;HowTo</cp:keywords>
  <cp:lastModifiedBy>Patricia Price</cp:lastModifiedBy>
  <cp:revision>2</cp:revision>
  <cp:lastPrinted>2016-05-02T21:32:00Z</cp:lastPrinted>
  <dcterms:created xsi:type="dcterms:W3CDTF">2018-06-21T20:21:00Z</dcterms:created>
  <dcterms:modified xsi:type="dcterms:W3CDTF">2018-06-21T20:21:00Z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